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after="120" w:line="360" w:lineRule="auto"/>
        <w:ind w:right="-23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(MODELO)</w:t>
      </w:r>
    </w:p>
    <w:p>
      <w:pPr>
        <w:spacing w:before="120" w:after="120" w:line="360" w:lineRule="auto"/>
        <w:ind w:right="-234"/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>ANEXO VI</w:t>
      </w:r>
    </w:p>
    <w:p>
      <w:pPr>
        <w:spacing w:before="120" w:after="120" w:line="360" w:lineRule="auto"/>
        <w:ind w:right="-234"/>
        <w:jc w:val="center"/>
        <w:rPr>
          <w:rFonts w:ascii="Times New Roman" w:hAnsi="Times New Roman" w:cs="Times New Roman"/>
          <w:b/>
          <w:color w:val="FF0000"/>
        </w:rPr>
      </w:pPr>
    </w:p>
    <w:p>
      <w:pPr>
        <w:spacing w:before="120" w:after="120" w:line="360" w:lineRule="auto"/>
        <w:ind w:right="-23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DECLARAÇÃO DA NÃO OCORRÊNCIA DE IMPEDIMENTOS</w:t>
      </w:r>
    </w:p>
    <w:p>
      <w:pPr>
        <w:spacing w:before="120" w:after="120" w:line="360" w:lineRule="auto"/>
        <w:ind w:right="-234"/>
        <w:jc w:val="center"/>
        <w:rPr>
          <w:rFonts w:ascii="Times New Roman" w:hAnsi="Times New Roman" w:cs="Times New Roman"/>
          <w:b/>
        </w:rPr>
      </w:pPr>
    </w:p>
    <w:p>
      <w:pPr>
        <w:tabs>
          <w:tab w:val="left" w:pos="567"/>
        </w:tabs>
        <w:spacing w:before="120" w:after="120" w:line="360" w:lineRule="auto"/>
        <w:ind w:right="-232" w:firstLine="567"/>
        <w:jc w:val="both"/>
        <w:rPr>
          <w:rStyle w:val="4"/>
          <w:rFonts w:ascii="Times New Roman" w:hAnsi="Times New Roman" w:cs="Times New Roman"/>
        </w:rPr>
      </w:pPr>
      <w:r>
        <w:rPr>
          <w:rStyle w:val="4"/>
          <w:rFonts w:ascii="Times New Roman" w:hAnsi="Times New Roman" w:cs="Times New Roman"/>
        </w:rPr>
        <w:t xml:space="preserve">Declaro para os devidos fins, que a </w:t>
      </w:r>
      <w:r>
        <w:rPr>
          <w:rStyle w:val="4"/>
          <w:rFonts w:ascii="Times New Roman" w:hAnsi="Times New Roman" w:cs="Times New Roman"/>
          <w:i/>
          <w:color w:val="FF0000"/>
        </w:rPr>
        <w:t>[identificação da organização da sociedade civil – OSC]</w:t>
      </w:r>
      <w:r>
        <w:rPr>
          <w:rStyle w:val="4"/>
          <w:rFonts w:ascii="Times New Roman" w:hAnsi="Times New Roman" w:cs="Times New Roman"/>
          <w:i/>
        </w:rPr>
        <w:t xml:space="preserve"> </w:t>
      </w:r>
      <w:r>
        <w:rPr>
          <w:rStyle w:val="4"/>
          <w:rFonts w:ascii="Times New Roman" w:hAnsi="Times New Roman" w:cs="Times New Roman"/>
        </w:rPr>
        <w:t>e seus dirigentes não incorrem em quaisquer das vedações previstas no art. 39 da Lei nº 13.019, de 2014. Nesse sentido, a citada entidade:</w:t>
      </w:r>
    </w:p>
    <w:p>
      <w:pPr>
        <w:tabs>
          <w:tab w:val="left" w:pos="567"/>
        </w:tabs>
        <w:spacing w:before="120" w:after="120" w:line="360" w:lineRule="auto"/>
        <w:ind w:right="-232" w:firstLine="567"/>
        <w:jc w:val="both"/>
        <w:rPr>
          <w:rStyle w:val="4"/>
          <w:rFonts w:ascii="Times New Roman" w:hAnsi="Times New Roman" w:cs="Times New Roman"/>
        </w:rPr>
      </w:pPr>
    </w:p>
    <w:p>
      <w:pPr>
        <w:numPr>
          <w:ilvl w:val="0"/>
          <w:numId w:val="1"/>
        </w:numPr>
        <w:tabs>
          <w:tab w:val="left" w:pos="-2607"/>
        </w:tabs>
        <w:spacing w:before="120" w:after="120" w:line="360" w:lineRule="auto"/>
        <w:ind w:left="0" w:right="-232" w:firstLine="567"/>
        <w:jc w:val="both"/>
      </w:pPr>
      <w:r>
        <w:rPr>
          <w:rFonts w:ascii="Times New Roman" w:hAnsi="Times New Roman" w:cs="Times New Roman"/>
          <w:color w:val="000000"/>
        </w:rPr>
        <w:t>Está regularmente constituída ou, se estrangeira, está autorizada a funcionar no território nacional;</w:t>
      </w:r>
    </w:p>
    <w:p>
      <w:pPr>
        <w:numPr>
          <w:ilvl w:val="0"/>
          <w:numId w:val="1"/>
        </w:numPr>
        <w:tabs>
          <w:tab w:val="left" w:pos="-2607"/>
        </w:tabs>
        <w:spacing w:before="120" w:after="120" w:line="360" w:lineRule="auto"/>
        <w:ind w:left="0" w:right="-232" w:firstLine="567"/>
        <w:jc w:val="both"/>
      </w:pPr>
      <w:r>
        <w:rPr>
          <w:rFonts w:ascii="Times New Roman" w:hAnsi="Times New Roman" w:cs="Times New Roman"/>
          <w:color w:val="000000"/>
        </w:rPr>
        <w:t>Não foi omissa no dever de prestar contas de parceria anteriormente celebrada;</w:t>
      </w:r>
    </w:p>
    <w:p>
      <w:pPr>
        <w:numPr>
          <w:ilvl w:val="0"/>
          <w:numId w:val="1"/>
        </w:numPr>
        <w:tabs>
          <w:tab w:val="left" w:pos="-2607"/>
        </w:tabs>
        <w:spacing w:before="120" w:after="120" w:line="360" w:lineRule="auto"/>
        <w:ind w:left="0" w:right="-232" w:firstLine="567"/>
        <w:jc w:val="both"/>
      </w:pPr>
      <w:r>
        <w:rPr>
          <w:rStyle w:val="4"/>
          <w:rFonts w:ascii="Times New Roman" w:hAnsi="Times New Roman" w:cs="Times New Roman"/>
          <w:color w:val="000000"/>
        </w:rPr>
        <w:t xml:space="preserve">Não tem como dirigente membro de Poder ou do Ministério Público, ou dirigente de órgão ou entidade da administração pública da mesma esfera governamental na qual será celebrado o termo de colaboração, estendendo-se a vedação aos respectivos cônjuges ou companheiros, bem como parentes em linha reta, colateral ou por afinidade, até o segundo grau. </w:t>
      </w:r>
      <w:r>
        <w:rPr>
          <w:rStyle w:val="4"/>
          <w:rFonts w:ascii="Times New Roman" w:hAnsi="Times New Roman" w:cs="Times New Roman"/>
          <w:i/>
          <w:color w:val="000000"/>
        </w:rPr>
        <w:t>Observação: a presente vedação não se aplica às entidades que, pela sua própria natureza, sejam constituídas pelas autoridades ora referidas (o que deverá ser devidamente informado e justificado pela OSC/OSCIP), sendo vedado que a mesma pessoa figure no instrumento de parceria simultaneamente como dirigente e administrador público (art. 39, §5º, da Lei nº 13.019, de 2014)</w:t>
      </w:r>
      <w:r>
        <w:rPr>
          <w:rStyle w:val="4"/>
          <w:rFonts w:ascii="Times New Roman" w:hAnsi="Times New Roman" w:cs="Times New Roman"/>
          <w:color w:val="000000"/>
        </w:rPr>
        <w:t>;</w:t>
      </w:r>
    </w:p>
    <w:p>
      <w:pPr>
        <w:numPr>
          <w:ilvl w:val="0"/>
          <w:numId w:val="1"/>
        </w:numPr>
        <w:tabs>
          <w:tab w:val="left" w:pos="-2607"/>
        </w:tabs>
        <w:spacing w:before="120" w:after="120" w:line="360" w:lineRule="auto"/>
        <w:ind w:left="0" w:right="-232" w:firstLine="567"/>
        <w:jc w:val="both"/>
      </w:pPr>
      <w:r>
        <w:rPr>
          <w:rStyle w:val="4"/>
          <w:rFonts w:ascii="Times New Roman" w:hAnsi="Times New Roman" w:cs="Times New Roman"/>
          <w:color w:val="000000"/>
        </w:rPr>
        <w:t xml:space="preserve">Não teve as contas rejeitadas pela administração pública nos últimos cinco anos, observadas as exceções previstas no art. 39, </w:t>
      </w:r>
      <w:r>
        <w:rPr>
          <w:rStyle w:val="4"/>
          <w:rFonts w:ascii="Times New Roman" w:hAnsi="Times New Roman" w:cs="Times New Roman"/>
          <w:b/>
          <w:color w:val="000000"/>
        </w:rPr>
        <w:t>caput</w:t>
      </w:r>
      <w:r>
        <w:rPr>
          <w:rStyle w:val="4"/>
          <w:rFonts w:ascii="Times New Roman" w:hAnsi="Times New Roman" w:cs="Times New Roman"/>
          <w:color w:val="000000"/>
        </w:rPr>
        <w:t>, inciso IV, alíneas “a” a “c”, da Lei nº 13.019, de 2014;</w:t>
      </w:r>
    </w:p>
    <w:p>
      <w:pPr>
        <w:numPr>
          <w:ilvl w:val="0"/>
          <w:numId w:val="1"/>
        </w:numPr>
        <w:tabs>
          <w:tab w:val="left" w:pos="-2607"/>
        </w:tabs>
        <w:spacing w:before="120" w:after="120" w:line="360" w:lineRule="auto"/>
        <w:ind w:left="0" w:right="-232" w:firstLine="567"/>
        <w:jc w:val="both"/>
      </w:pPr>
      <w:r>
        <w:rPr>
          <w:rFonts w:ascii="Times New Roman" w:hAnsi="Times New Roman" w:cs="Times New Roman"/>
          <w:color w:val="000000"/>
        </w:rPr>
        <w:t>Não teve contas de parceria julgadas irregulares ou rejeitadas por Tribunal ou Conselho de Contas de qualquer esfera da Federação, em decisão irrecorrível, nos últimos 8 (oito) anos; e</w:t>
      </w:r>
    </w:p>
    <w:p>
      <w:pPr>
        <w:numPr>
          <w:ilvl w:val="0"/>
          <w:numId w:val="1"/>
        </w:numPr>
        <w:tabs>
          <w:tab w:val="left" w:pos="-2607"/>
        </w:tabs>
        <w:spacing w:before="120" w:after="120" w:line="360" w:lineRule="auto"/>
        <w:ind w:left="0" w:right="-232" w:firstLine="567"/>
        <w:jc w:val="both"/>
      </w:pPr>
      <w:r>
        <w:rPr>
          <w:rFonts w:ascii="Times New Roman" w:hAnsi="Times New Roman" w:cs="Times New Roman"/>
          <w:color w:val="000000"/>
        </w:rPr>
        <w:t>Não tem entre seus dirigentes pessoa cujas contas relativas a parcerias tenham sido julgadas irregulares ou rejeitadas por Tribunal ou Conselho de Contas de qualquer esfera da Federação, em decisão irrecorrível, nos últimos 8 (oito) anos; julgada responsável por falta grave e inabilitada para o exercício de cargo em comissão ou função de confiança, enquanto durar a inabilitação; ou considerada responsável por ato de improbidade, enquanto durarem os prazos estabelecidos nos incisos I, II e III do art. 12 da Lei nº 8.429, de 2 de junho de 1992.</w:t>
      </w:r>
    </w:p>
    <w:p>
      <w:pPr>
        <w:tabs>
          <w:tab w:val="left" w:pos="2127"/>
        </w:tabs>
        <w:spacing w:before="120" w:after="120" w:line="360" w:lineRule="auto"/>
        <w:ind w:left="567" w:right="-232"/>
        <w:jc w:val="both"/>
        <w:rPr>
          <w:rFonts w:ascii="Times New Roman" w:hAnsi="Times New Roman" w:cs="Times New Roman"/>
          <w:color w:val="000000"/>
        </w:rPr>
      </w:pPr>
    </w:p>
    <w:p>
      <w:pPr>
        <w:spacing w:before="120" w:after="120" w:line="360" w:lineRule="auto"/>
        <w:ind w:right="-232"/>
        <w:jc w:val="center"/>
      </w:pPr>
      <w:r>
        <w:rPr>
          <w:rFonts w:ascii="Times New Roman" w:hAnsi="Times New Roman" w:cs="Times New Roman"/>
        </w:rPr>
        <w:t>Ferraz de Vasconcelos/SP, ____ de ______________ de 20___.</w:t>
      </w:r>
    </w:p>
    <w:p>
      <w:pPr>
        <w:spacing w:before="120" w:after="120" w:line="360" w:lineRule="auto"/>
        <w:ind w:right="-232"/>
        <w:jc w:val="center"/>
        <w:rPr>
          <w:rFonts w:ascii="Times New Roman" w:hAnsi="Times New Roman" w:cs="Times New Roman"/>
        </w:rPr>
      </w:pPr>
    </w:p>
    <w:p>
      <w:pPr>
        <w:spacing w:before="120" w:after="120" w:line="360" w:lineRule="auto"/>
        <w:ind w:right="-232"/>
        <w:jc w:val="center"/>
      </w:pPr>
      <w:r>
        <w:rPr>
          <w:rFonts w:ascii="Times New Roman" w:hAnsi="Times New Roman" w:cs="Times New Roman"/>
        </w:rPr>
        <w:t>..........................................................................................</w:t>
      </w:r>
    </w:p>
    <w:p>
      <w:pPr>
        <w:spacing w:before="120" w:after="120" w:line="360" w:lineRule="auto"/>
        <w:ind w:right="-232"/>
        <w:jc w:val="center"/>
      </w:pPr>
      <w:r>
        <w:rPr>
          <w:rFonts w:ascii="Times New Roman" w:hAnsi="Times New Roman" w:cs="Times New Roman"/>
        </w:rPr>
        <w:t>(Nome e Cargo do Representante Legal da OSC)</w:t>
      </w:r>
    </w:p>
    <w:p>
      <w:pPr>
        <w:tabs>
          <w:tab w:val="left" w:pos="567"/>
        </w:tabs>
        <w:spacing w:line="360" w:lineRule="auto"/>
        <w:rPr>
          <w:rFonts w:ascii="Times New Roman" w:hAnsi="Times New Roman" w:cs="Times New Roman"/>
        </w:rPr>
      </w:pPr>
    </w:p>
    <w:p>
      <w:pPr>
        <w:tabs>
          <w:tab w:val="left" w:pos="567"/>
        </w:tabs>
        <w:spacing w:line="360" w:lineRule="auto"/>
        <w:rPr>
          <w:rFonts w:ascii="Times New Roman" w:hAnsi="Times New Roman" w:cs="Times New Roma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Noto Sans CJK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Noto Sans CJK SC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altName w:val="MT Extra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Noto Sans CJK SC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Noto Sans CJK SC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Noto Sans CJK SC">
    <w:panose1 w:val="020B0600000000000000"/>
    <w:charset w:val="86"/>
    <w:family w:val="auto"/>
    <w:pitch w:val="default"/>
    <w:sig w:usb0="30000003" w:usb1="2BDF3C10" w:usb2="00000016" w:usb3="00000000" w:csb0="602E0107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Liberation Serif">
    <w:panose1 w:val="02020603050405020304"/>
    <w:charset w:val="00"/>
    <w:family w:val="roman"/>
    <w:pitch w:val="default"/>
    <w:sig w:usb0="A00002AF" w:usb1="500078FB" w:usb2="00000000" w:usb3="00000000" w:csb0="6000009F" w:csb1="DFD70000"/>
  </w:font>
  <w:font w:name="Mangal">
    <w:altName w:val="Georgia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DejaVa Sans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byssinica SIL">
    <w:panose1 w:val="02000603020000020004"/>
    <w:charset w:val="00"/>
    <w:family w:val="auto"/>
    <w:pitch w:val="default"/>
    <w:sig w:usb0="800000EF" w:usb1="5000A04B" w:usb2="00000828" w:usb3="00000000" w:csb0="20000001" w:csb1="0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lvl w:ilvl="0" w:tentative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/>
        <w:color w:val="000000"/>
        <w:sz w:val="24"/>
        <w:szCs w:val="24"/>
      </w:r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36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36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36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2160" w:hanging="36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2520" w:hanging="36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2880" w:hanging="36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3240" w:hanging="36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79CB51"/>
    <w:rsid w:val="7D79C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SimSun" w:cs="Mangal"/>
      <w:kern w:val="1"/>
      <w:sz w:val="24"/>
      <w:szCs w:val="24"/>
      <w:lang w:val="pt-BR" w:eastAsia="zh-CN" w:bidi="hi-I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e parág. padrão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2019-12-13T15:26:00Z</dcterms:created>
  <dc:creator>funcionario</dc:creator>
  <cp:lastModifiedBy>funcionario</cp:lastModifiedBy>
  <dcterms:modified xsi:type="dcterms:W3CDTF">2019-12-13T15:26:33Z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1046-11.1.0.8865</vt:lpwstr>
  </property>
</Properties>
</file>