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7DBAD0" w14:textId="77777777" w:rsidR="00733EE6" w:rsidRDefault="00000000">
      <w:pPr>
        <w:pBdr>
          <w:top w:val="nil"/>
          <w:left w:val="nil"/>
          <w:bottom w:val="nil"/>
          <w:right w:val="nil"/>
          <w:between w:val="nil"/>
        </w:pBdr>
        <w:spacing w:line="360" w:lineRule="auto"/>
        <w:rPr>
          <w:rFonts w:ascii="Arial" w:eastAsia="Arial" w:hAnsi="Arial" w:cs="Arial"/>
          <w:b/>
          <w:bCs/>
          <w:color w:val="000000"/>
        </w:rPr>
      </w:pPr>
      <w:r>
        <w:rPr>
          <w:rFonts w:ascii="Arial" w:eastAsia="Arial" w:hAnsi="Arial" w:cs="Arial"/>
          <w:b/>
          <w:bCs/>
          <w:color w:val="000000"/>
        </w:rPr>
        <w:t>REGRAS DE PREENCHIMENTO</w:t>
      </w:r>
    </w:p>
    <w:tbl>
      <w:tblPr>
        <w:tblStyle w:val="a"/>
        <w:tblW w:w="906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31"/>
        <w:gridCol w:w="4536"/>
      </w:tblGrid>
      <w:tr w:rsidR="00733EE6" w14:paraId="56F6BC71" w14:textId="77777777">
        <w:tc>
          <w:tcPr>
            <w:tcW w:w="4531" w:type="dxa"/>
          </w:tcPr>
          <w:p w14:paraId="32748A97" w14:textId="77777777" w:rsidR="00733EE6" w:rsidRDefault="00000000">
            <w:pPr>
              <w:spacing w:line="360" w:lineRule="auto"/>
              <w:jc w:val="both"/>
              <w:rPr>
                <w:rFonts w:ascii="Arial" w:eastAsia="Arial" w:hAnsi="Arial" w:cs="Arial"/>
                <w:b/>
                <w:bCs/>
                <w:color w:val="0070C0"/>
              </w:rPr>
            </w:pPr>
            <w:r>
              <w:rPr>
                <w:rFonts w:ascii="Arial" w:eastAsia="Arial" w:hAnsi="Arial" w:cs="Arial"/>
                <w:b/>
                <w:bCs/>
                <w:color w:val="0070C0"/>
              </w:rPr>
              <w:t>Versão 1</w:t>
            </w:r>
          </w:p>
        </w:tc>
        <w:tc>
          <w:tcPr>
            <w:tcW w:w="4536" w:type="dxa"/>
          </w:tcPr>
          <w:p w14:paraId="3BF59235" w14:textId="589BFA65" w:rsidR="00733EE6" w:rsidRDefault="006E3886">
            <w:pPr>
              <w:spacing w:line="360" w:lineRule="auto"/>
              <w:jc w:val="both"/>
              <w:rPr>
                <w:rFonts w:ascii="Arial" w:eastAsia="Arial" w:hAnsi="Arial" w:cs="Arial"/>
                <w:b/>
                <w:bCs/>
                <w:color w:val="0070C0"/>
              </w:rPr>
            </w:pPr>
            <w:r>
              <w:rPr>
                <w:rFonts w:ascii="Arial" w:eastAsia="Arial" w:hAnsi="Arial" w:cs="Arial"/>
                <w:b/>
                <w:bCs/>
                <w:color w:val="0070C0"/>
              </w:rPr>
              <w:t>30/03</w:t>
            </w:r>
            <w:r w:rsidR="00000000">
              <w:rPr>
                <w:rFonts w:ascii="Arial" w:eastAsia="Arial" w:hAnsi="Arial" w:cs="Arial"/>
                <w:b/>
                <w:bCs/>
                <w:color w:val="0070C0"/>
              </w:rPr>
              <w:t>/2026</w:t>
            </w:r>
          </w:p>
        </w:tc>
      </w:tr>
    </w:tbl>
    <w:p w14:paraId="52A815F0" w14:textId="77777777" w:rsidR="00733EE6" w:rsidRDefault="00733EE6">
      <w:pPr>
        <w:pBdr>
          <w:top w:val="nil"/>
          <w:left w:val="nil"/>
          <w:bottom w:val="nil"/>
          <w:right w:val="nil"/>
          <w:between w:val="nil"/>
        </w:pBdr>
        <w:spacing w:line="360" w:lineRule="auto"/>
        <w:jc w:val="both"/>
        <w:rPr>
          <w:rFonts w:ascii="Arial" w:eastAsia="Arial" w:hAnsi="Arial" w:cs="Arial"/>
          <w:color w:val="000000"/>
        </w:rPr>
      </w:pPr>
    </w:p>
    <w:p w14:paraId="155E7EB1" w14:textId="77777777" w:rsidR="00733EE6" w:rsidRDefault="00000000">
      <w:pPr>
        <w:pBdr>
          <w:top w:val="nil"/>
          <w:left w:val="nil"/>
          <w:bottom w:val="nil"/>
          <w:right w:val="nil"/>
          <w:between w:val="nil"/>
        </w:pBdr>
        <w:spacing w:line="360" w:lineRule="auto"/>
        <w:jc w:val="both"/>
        <w:rPr>
          <w:rFonts w:ascii="Arial" w:eastAsia="Arial" w:hAnsi="Arial" w:cs="Arial"/>
          <w:color w:val="000000"/>
        </w:rPr>
      </w:pPr>
      <w:r>
        <w:rPr>
          <w:rFonts w:ascii="Arial" w:eastAsia="Arial" w:hAnsi="Arial" w:cs="Arial"/>
          <w:color w:val="000000"/>
        </w:rPr>
        <w:t>- As minutas disponibilizadas no sítio eletrônico da Prefeitura contêm a indicação da versão e a correspondente data da atualização. É necessário que, antes da utilização dos respectivos instrumentos, seja verificada a existência de versões mais recentes, assegurando que seja utilizada a versão mais atualizada.</w:t>
      </w:r>
    </w:p>
    <w:p w14:paraId="652F125B" w14:textId="77777777" w:rsidR="00733EE6" w:rsidRDefault="00000000">
      <w:pPr>
        <w:pBdr>
          <w:top w:val="nil"/>
          <w:left w:val="nil"/>
          <w:bottom w:val="nil"/>
          <w:right w:val="nil"/>
          <w:between w:val="nil"/>
        </w:pBdr>
        <w:spacing w:line="360" w:lineRule="auto"/>
        <w:jc w:val="both"/>
        <w:rPr>
          <w:rFonts w:ascii="Arial" w:eastAsia="Arial" w:hAnsi="Arial" w:cs="Arial"/>
          <w:color w:val="000000"/>
        </w:rPr>
      </w:pPr>
      <w:r>
        <w:rPr>
          <w:rFonts w:ascii="Arial" w:eastAsia="Arial" w:hAnsi="Arial" w:cs="Arial"/>
          <w:color w:val="000000"/>
        </w:rPr>
        <w:t xml:space="preserve">- As observações grafadas </w:t>
      </w:r>
      <w:r>
        <w:rPr>
          <w:rFonts w:ascii="Arial" w:eastAsia="Arial" w:hAnsi="Arial" w:cs="Arial"/>
          <w:color w:val="EE0000"/>
        </w:rPr>
        <w:t xml:space="preserve">em vermelho </w:t>
      </w:r>
      <w:r>
        <w:rPr>
          <w:rFonts w:ascii="Arial" w:eastAsia="Arial" w:hAnsi="Arial" w:cs="Arial"/>
          <w:color w:val="000000"/>
        </w:rPr>
        <w:t>no corpo do texto são instruções para facilitar a compreensão e orientar a forma de utilização das minutas padronizadas. Essas instruções deverão ser SUPRIMIDAS quando da finalização da minuta de aditivo.</w:t>
      </w:r>
    </w:p>
    <w:p w14:paraId="59E026E4" w14:textId="77777777" w:rsidR="00733EE6" w:rsidRDefault="00000000">
      <w:pPr>
        <w:pBdr>
          <w:top w:val="nil"/>
          <w:left w:val="nil"/>
          <w:bottom w:val="nil"/>
          <w:right w:val="nil"/>
          <w:between w:val="nil"/>
        </w:pBdr>
        <w:spacing w:line="360" w:lineRule="auto"/>
        <w:jc w:val="both"/>
        <w:rPr>
          <w:rFonts w:ascii="Arial" w:eastAsia="Arial" w:hAnsi="Arial" w:cs="Arial"/>
          <w:color w:val="000000"/>
        </w:rPr>
      </w:pPr>
      <w:r>
        <w:rPr>
          <w:rFonts w:ascii="Arial" w:eastAsia="Arial" w:hAnsi="Arial" w:cs="Arial"/>
          <w:color w:val="000000"/>
        </w:rPr>
        <w:t>- Notas explicativas de rodapé também servem ao propósito de orientação e fundamentação, devendo igualmente ser EXCLUÍDAS da versão publicável.</w:t>
      </w:r>
    </w:p>
    <w:p w14:paraId="0740E002" w14:textId="77777777" w:rsidR="00733EE6" w:rsidRDefault="00000000">
      <w:pPr>
        <w:pBdr>
          <w:top w:val="nil"/>
          <w:left w:val="nil"/>
          <w:bottom w:val="nil"/>
          <w:right w:val="nil"/>
          <w:between w:val="nil"/>
        </w:pBdr>
        <w:spacing w:line="360" w:lineRule="auto"/>
        <w:jc w:val="both"/>
        <w:rPr>
          <w:rFonts w:ascii="Arial" w:eastAsia="Arial" w:hAnsi="Arial" w:cs="Arial"/>
          <w:color w:val="000000"/>
        </w:rPr>
      </w:pPr>
      <w:r>
        <w:rPr>
          <w:rFonts w:ascii="Arial" w:eastAsia="Arial" w:hAnsi="Arial" w:cs="Arial"/>
          <w:color w:val="000000"/>
        </w:rPr>
        <w:t xml:space="preserve">- As lacunas existentes no texto estão destacadas </w:t>
      </w:r>
      <w:r>
        <w:rPr>
          <w:rFonts w:ascii="Arial" w:eastAsia="Arial" w:hAnsi="Arial" w:cs="Arial"/>
          <w:color w:val="4472C4"/>
        </w:rPr>
        <w:t>em azul</w:t>
      </w:r>
      <w:r>
        <w:rPr>
          <w:rFonts w:ascii="Arial" w:eastAsia="Arial" w:hAnsi="Arial" w:cs="Arial"/>
          <w:color w:val="0070C0"/>
        </w:rPr>
        <w:t xml:space="preserve"> </w:t>
      </w:r>
      <w:r>
        <w:rPr>
          <w:rFonts w:ascii="Arial" w:eastAsia="Arial" w:hAnsi="Arial" w:cs="Arial"/>
          <w:color w:val="000000"/>
        </w:rPr>
        <w:t>e devem ser preenchidas. Itens com redação alternativa ou opcional também estão grafados em azul e devem ser adotados pelo órgão, de acordo com as peculiaridades do caso concreto e do objeto do ajuste, cuidando-se para que sejam suprimidas as alternativas que não forem utilizadas.</w:t>
      </w:r>
    </w:p>
    <w:p w14:paraId="5EDE64C5" w14:textId="77777777" w:rsidR="00733EE6" w:rsidRDefault="00000000">
      <w:pPr>
        <w:pBdr>
          <w:top w:val="nil"/>
          <w:left w:val="nil"/>
          <w:bottom w:val="nil"/>
          <w:right w:val="nil"/>
          <w:between w:val="nil"/>
        </w:pBdr>
        <w:spacing w:line="360" w:lineRule="auto"/>
        <w:jc w:val="both"/>
        <w:rPr>
          <w:rFonts w:ascii="Arial" w:eastAsia="Arial" w:hAnsi="Arial" w:cs="Arial"/>
          <w:color w:val="000000"/>
        </w:rPr>
      </w:pPr>
      <w:r>
        <w:rPr>
          <w:rFonts w:ascii="Arial" w:eastAsia="Arial" w:hAnsi="Arial" w:cs="Arial"/>
          <w:color w:val="000000"/>
        </w:rPr>
        <w:t>- Considerando a existência de itens e/ou cláusulas opcionais, é possível que a numeração dos tópicos subsequentes, bem como das remissões, sofra alteração no momento do preenchimento dos instrumentos. É de extrema relevância que sejam conferidas TODAS as numerações e remissões antes da finalização do documento.</w:t>
      </w:r>
    </w:p>
    <w:p w14:paraId="14CCD4AD" w14:textId="77777777" w:rsidR="00733EE6" w:rsidRDefault="00000000">
      <w:pPr>
        <w:pBdr>
          <w:top w:val="nil"/>
          <w:left w:val="nil"/>
          <w:bottom w:val="nil"/>
          <w:right w:val="nil"/>
          <w:between w:val="nil"/>
        </w:pBdr>
        <w:spacing w:line="360" w:lineRule="auto"/>
        <w:jc w:val="both"/>
        <w:rPr>
          <w:rFonts w:ascii="Arial" w:eastAsia="Arial" w:hAnsi="Arial" w:cs="Arial"/>
          <w:color w:val="000000"/>
        </w:rPr>
      </w:pPr>
      <w:r>
        <w:rPr>
          <w:rFonts w:ascii="Arial" w:eastAsia="Arial" w:hAnsi="Arial" w:cs="Arial"/>
          <w:color w:val="000000"/>
        </w:rPr>
        <w:t>- As instruções acima deverão ser suprimidas.</w:t>
      </w:r>
    </w:p>
    <w:p w14:paraId="1107B509" w14:textId="77777777" w:rsidR="00733EE6" w:rsidRDefault="00733EE6">
      <w:pPr>
        <w:pBdr>
          <w:top w:val="nil"/>
          <w:left w:val="nil"/>
          <w:bottom w:val="nil"/>
          <w:right w:val="nil"/>
          <w:between w:val="nil"/>
        </w:pBdr>
        <w:spacing w:line="360" w:lineRule="auto"/>
        <w:jc w:val="both"/>
        <w:rPr>
          <w:rFonts w:ascii="Arial" w:eastAsia="Arial" w:hAnsi="Arial" w:cs="Arial"/>
          <w:b/>
          <w:bCs/>
          <w:color w:val="000000"/>
        </w:rPr>
      </w:pPr>
    </w:p>
    <w:p w14:paraId="6FB8D8FB" w14:textId="77777777" w:rsidR="00733EE6" w:rsidRDefault="00000000">
      <w:pPr>
        <w:pBdr>
          <w:top w:val="nil"/>
          <w:left w:val="nil"/>
          <w:bottom w:val="nil"/>
          <w:right w:val="nil"/>
          <w:between w:val="nil"/>
        </w:pBdr>
        <w:spacing w:line="360" w:lineRule="auto"/>
        <w:ind w:left="4536"/>
        <w:jc w:val="both"/>
        <w:rPr>
          <w:rFonts w:ascii="Arial" w:eastAsia="Arial" w:hAnsi="Arial" w:cs="Arial"/>
          <w:color w:val="000000"/>
        </w:rPr>
      </w:pPr>
      <w:r>
        <w:rPr>
          <w:rFonts w:ascii="Arial" w:eastAsia="Arial" w:hAnsi="Arial" w:cs="Arial"/>
          <w:b/>
          <w:bCs/>
          <w:color w:val="000000"/>
        </w:rPr>
        <w:t xml:space="preserve">TERMO ADITIVO À ATA DE REGISTRO DE PREÇOS Nº </w:t>
      </w:r>
      <w:r>
        <w:rPr>
          <w:rFonts w:ascii="Arial" w:eastAsia="Arial" w:hAnsi="Arial" w:cs="Arial"/>
          <w:b/>
          <w:bCs/>
          <w:color w:val="4472C4"/>
        </w:rPr>
        <w:t>XX/XXXX</w:t>
      </w:r>
      <w:r>
        <w:rPr>
          <w:rFonts w:ascii="Arial" w:eastAsia="Arial" w:hAnsi="Arial" w:cs="Arial"/>
          <w:color w:val="000000"/>
        </w:rPr>
        <w:t>, QUE ENTRE SI CELEBRAM O MUNICÍPIO</w:t>
      </w:r>
      <w:r>
        <w:rPr>
          <w:rFonts w:ascii="Arial" w:eastAsia="Arial" w:hAnsi="Arial" w:cs="Arial"/>
          <w:color w:val="0070C0"/>
        </w:rPr>
        <w:t xml:space="preserve"> </w:t>
      </w:r>
      <w:r>
        <w:rPr>
          <w:rFonts w:ascii="Arial" w:eastAsia="Arial" w:hAnsi="Arial" w:cs="Arial"/>
          <w:color w:val="000000"/>
        </w:rPr>
        <w:t xml:space="preserve">DE FERRAZ DE VASCONCELOS, POR MEIO DA </w:t>
      </w:r>
      <w:r>
        <w:rPr>
          <w:rFonts w:ascii="Arial" w:eastAsia="Arial" w:hAnsi="Arial" w:cs="Arial"/>
          <w:b/>
          <w:bCs/>
          <w:color w:val="000000"/>
        </w:rPr>
        <w:t xml:space="preserve">SECRETARIA DE </w:t>
      </w:r>
      <w:r>
        <w:rPr>
          <w:rFonts w:ascii="Arial" w:eastAsia="Arial" w:hAnsi="Arial" w:cs="Arial"/>
          <w:b/>
          <w:bCs/>
          <w:color w:val="4472C4"/>
        </w:rPr>
        <w:t>XXXX</w:t>
      </w:r>
      <w:r>
        <w:rPr>
          <w:rFonts w:ascii="Arial" w:eastAsia="Arial" w:hAnsi="Arial" w:cs="Arial"/>
          <w:color w:val="000000"/>
        </w:rPr>
        <w:t xml:space="preserve">, E A EMPRESA </w:t>
      </w:r>
      <w:r>
        <w:rPr>
          <w:rFonts w:ascii="Arial" w:eastAsia="Arial" w:hAnsi="Arial" w:cs="Arial"/>
          <w:b/>
          <w:bCs/>
          <w:color w:val="4472C4"/>
        </w:rPr>
        <w:t>XXXX</w:t>
      </w:r>
      <w:r>
        <w:rPr>
          <w:rFonts w:ascii="Arial" w:eastAsia="Arial" w:hAnsi="Arial" w:cs="Arial"/>
          <w:color w:val="000000"/>
        </w:rPr>
        <w:t>,</w:t>
      </w:r>
      <w:r>
        <w:rPr>
          <w:rFonts w:ascii="Arial" w:eastAsia="Arial" w:hAnsi="Arial" w:cs="Arial"/>
          <w:b/>
          <w:bCs/>
          <w:color w:val="000000"/>
        </w:rPr>
        <w:t xml:space="preserve"> </w:t>
      </w:r>
      <w:r>
        <w:rPr>
          <w:rFonts w:ascii="Arial" w:eastAsia="Arial" w:hAnsi="Arial" w:cs="Arial"/>
          <w:color w:val="000000"/>
        </w:rPr>
        <w:t>NA FORMA ABAIXO:</w:t>
      </w:r>
    </w:p>
    <w:p w14:paraId="216916A9" w14:textId="77777777" w:rsidR="00733EE6" w:rsidRDefault="00733EE6">
      <w:pPr>
        <w:pBdr>
          <w:top w:val="nil"/>
          <w:left w:val="nil"/>
          <w:bottom w:val="nil"/>
          <w:right w:val="nil"/>
          <w:between w:val="nil"/>
        </w:pBdr>
        <w:tabs>
          <w:tab w:val="left" w:pos="284"/>
        </w:tabs>
        <w:spacing w:line="360" w:lineRule="auto"/>
        <w:jc w:val="both"/>
        <w:rPr>
          <w:rFonts w:ascii="Arial" w:eastAsia="Arial" w:hAnsi="Arial" w:cs="Arial"/>
          <w:color w:val="000000"/>
        </w:rPr>
      </w:pPr>
    </w:p>
    <w:p w14:paraId="57972670" w14:textId="77777777" w:rsidR="00733EE6" w:rsidRDefault="00000000">
      <w:pPr>
        <w:pBdr>
          <w:top w:val="nil"/>
          <w:left w:val="nil"/>
          <w:bottom w:val="nil"/>
          <w:right w:val="nil"/>
          <w:between w:val="nil"/>
        </w:pBdr>
        <w:tabs>
          <w:tab w:val="left" w:pos="284"/>
        </w:tabs>
        <w:spacing w:line="360" w:lineRule="auto"/>
        <w:jc w:val="both"/>
        <w:rPr>
          <w:rFonts w:ascii="Arial" w:eastAsia="Arial" w:hAnsi="Arial" w:cs="Arial"/>
          <w:color w:val="000000"/>
        </w:rPr>
      </w:pPr>
      <w:r>
        <w:rPr>
          <w:rFonts w:ascii="Arial" w:eastAsia="Arial" w:hAnsi="Arial" w:cs="Arial"/>
          <w:color w:val="000000"/>
        </w:rPr>
        <w:t xml:space="preserve">O MUNICÍPIO DE FERRAZ DE VASCONCELOS, através da Secretaria de </w:t>
      </w:r>
      <w:r>
        <w:rPr>
          <w:rFonts w:ascii="Arial" w:eastAsia="Arial" w:hAnsi="Arial" w:cs="Arial"/>
          <w:b/>
          <w:bCs/>
          <w:color w:val="4472C4"/>
        </w:rPr>
        <w:t>XXXX</w:t>
      </w:r>
      <w:r>
        <w:rPr>
          <w:rFonts w:ascii="Arial" w:eastAsia="Arial" w:hAnsi="Arial" w:cs="Arial"/>
          <w:color w:val="000000"/>
        </w:rPr>
        <w:t xml:space="preserve">, inscrito no CNPJ sob o nº 46.523.197/0001-44, com sede na Avenida Rui Barbosa, 315, Vila Romanópolis, neste ato representado por </w:t>
      </w:r>
      <w:r>
        <w:rPr>
          <w:rFonts w:ascii="Arial" w:eastAsia="Arial" w:hAnsi="Arial" w:cs="Arial"/>
          <w:color w:val="4472C4"/>
        </w:rPr>
        <w:t>seu/sua Secretário/Secretária</w:t>
      </w:r>
      <w:r>
        <w:rPr>
          <w:rFonts w:ascii="Arial" w:eastAsia="Arial" w:hAnsi="Arial" w:cs="Arial"/>
          <w:color w:val="000000"/>
        </w:rPr>
        <w:t xml:space="preserve"> </w:t>
      </w:r>
      <w:r>
        <w:rPr>
          <w:rFonts w:ascii="Arial" w:eastAsia="Arial" w:hAnsi="Arial" w:cs="Arial"/>
          <w:b/>
          <w:bCs/>
          <w:color w:val="4472C4"/>
        </w:rPr>
        <w:t>XXXX</w:t>
      </w:r>
      <w:r>
        <w:rPr>
          <w:rFonts w:ascii="Arial" w:eastAsia="Arial" w:hAnsi="Arial" w:cs="Arial"/>
          <w:color w:val="000000"/>
        </w:rPr>
        <w:t xml:space="preserve">, doravante designado simplesmente </w:t>
      </w:r>
      <w:r>
        <w:rPr>
          <w:rFonts w:ascii="Arial" w:eastAsia="Arial" w:hAnsi="Arial" w:cs="Arial"/>
          <w:b/>
          <w:bCs/>
          <w:color w:val="000000"/>
        </w:rPr>
        <w:t>CONTRATANTE</w:t>
      </w:r>
      <w:r>
        <w:rPr>
          <w:rFonts w:ascii="Arial" w:eastAsia="Arial" w:hAnsi="Arial" w:cs="Arial"/>
          <w:color w:val="000000"/>
        </w:rPr>
        <w:t xml:space="preserve">, e, do outro lado, a </w:t>
      </w:r>
      <w:r>
        <w:rPr>
          <w:rFonts w:ascii="Arial" w:eastAsia="Arial" w:hAnsi="Arial" w:cs="Arial"/>
          <w:color w:val="000000"/>
        </w:rPr>
        <w:lastRenderedPageBreak/>
        <w:t xml:space="preserve">empresa </w:t>
      </w:r>
      <w:r>
        <w:rPr>
          <w:rFonts w:ascii="Arial" w:eastAsia="Arial" w:hAnsi="Arial" w:cs="Arial"/>
          <w:b/>
          <w:bCs/>
          <w:color w:val="4472C4"/>
        </w:rPr>
        <w:t>XXXX</w:t>
      </w:r>
      <w:r>
        <w:rPr>
          <w:rFonts w:ascii="Arial" w:eastAsia="Arial" w:hAnsi="Arial" w:cs="Arial"/>
          <w:color w:val="000000"/>
        </w:rPr>
        <w:t xml:space="preserve">, inscrita no CNPJ sob o nº </w:t>
      </w:r>
      <w:r>
        <w:rPr>
          <w:rFonts w:ascii="Arial" w:eastAsia="Arial" w:hAnsi="Arial" w:cs="Arial"/>
          <w:color w:val="4472C4"/>
        </w:rPr>
        <w:t>XXXX</w:t>
      </w:r>
      <w:r>
        <w:rPr>
          <w:rFonts w:ascii="Arial" w:eastAsia="Arial" w:hAnsi="Arial" w:cs="Arial"/>
          <w:color w:val="000000"/>
        </w:rPr>
        <w:t xml:space="preserve">, com sede na </w:t>
      </w:r>
      <w:r>
        <w:rPr>
          <w:rFonts w:ascii="Arial" w:eastAsia="Arial" w:hAnsi="Arial" w:cs="Arial"/>
          <w:color w:val="4472C4"/>
        </w:rPr>
        <w:t>XXXX</w:t>
      </w:r>
      <w:r>
        <w:rPr>
          <w:rFonts w:ascii="Arial" w:eastAsia="Arial" w:hAnsi="Arial" w:cs="Arial"/>
          <w:color w:val="000000"/>
        </w:rPr>
        <w:t xml:space="preserve">, aqui representada por </w:t>
      </w:r>
      <w:r>
        <w:rPr>
          <w:rFonts w:ascii="Arial" w:eastAsia="Arial" w:hAnsi="Arial" w:cs="Arial"/>
          <w:color w:val="4472C4"/>
        </w:rPr>
        <w:t>Sr.(a) XXXX</w:t>
      </w:r>
      <w:r>
        <w:rPr>
          <w:rFonts w:ascii="Arial" w:eastAsia="Arial" w:hAnsi="Arial" w:cs="Arial"/>
          <w:color w:val="000000"/>
        </w:rPr>
        <w:t xml:space="preserve">, doravante designada simplesmente </w:t>
      </w:r>
      <w:r>
        <w:rPr>
          <w:rFonts w:ascii="Arial" w:eastAsia="Arial" w:hAnsi="Arial" w:cs="Arial"/>
          <w:b/>
          <w:bCs/>
          <w:color w:val="000000"/>
        </w:rPr>
        <w:t>DETENTORA DA ATA</w:t>
      </w:r>
      <w:r>
        <w:rPr>
          <w:rFonts w:ascii="Arial" w:eastAsia="Arial" w:hAnsi="Arial" w:cs="Arial"/>
          <w:color w:val="000000"/>
        </w:rPr>
        <w:t>, têm entre si justa e acordada, nos termos do artigo 84 da Lei n</w:t>
      </w:r>
      <w:r>
        <w:rPr>
          <w:rFonts w:ascii="Arial" w:eastAsia="Arial" w:hAnsi="Arial" w:cs="Arial"/>
          <w:color w:val="000000"/>
          <w:vertAlign w:val="superscript"/>
        </w:rPr>
        <w:t>o</w:t>
      </w:r>
      <w:r>
        <w:rPr>
          <w:rFonts w:ascii="Arial" w:eastAsia="Arial" w:hAnsi="Arial" w:cs="Arial"/>
          <w:color w:val="000000"/>
        </w:rPr>
        <w:t xml:space="preserve"> 14.133/2021 e da </w:t>
      </w:r>
      <w:r>
        <w:rPr>
          <w:rFonts w:ascii="Arial" w:eastAsia="Arial" w:hAnsi="Arial" w:cs="Arial"/>
          <w:b/>
          <w:bCs/>
          <w:color w:val="000000"/>
        </w:rPr>
        <w:t xml:space="preserve">cláusula </w:t>
      </w:r>
      <w:r>
        <w:rPr>
          <w:rFonts w:ascii="Arial" w:eastAsia="Arial" w:hAnsi="Arial" w:cs="Arial"/>
          <w:b/>
          <w:bCs/>
          <w:color w:val="4472C4"/>
        </w:rPr>
        <w:t xml:space="preserve">XXXX </w:t>
      </w:r>
      <w:r>
        <w:rPr>
          <w:rFonts w:ascii="Arial" w:eastAsia="Arial" w:hAnsi="Arial" w:cs="Arial"/>
          <w:b/>
          <w:bCs/>
          <w:color w:val="000000"/>
        </w:rPr>
        <w:t>da Ata de Registro de Preços nº</w:t>
      </w:r>
      <w:r>
        <w:rPr>
          <w:rFonts w:ascii="Arial" w:eastAsia="Arial" w:hAnsi="Arial" w:cs="Arial"/>
          <w:color w:val="000000"/>
        </w:rPr>
        <w:t xml:space="preserve"> </w:t>
      </w:r>
      <w:r>
        <w:rPr>
          <w:rFonts w:ascii="Arial" w:eastAsia="Arial" w:hAnsi="Arial" w:cs="Arial"/>
          <w:b/>
          <w:bCs/>
          <w:color w:val="4472C4"/>
        </w:rPr>
        <w:t>XX/XXXX</w:t>
      </w:r>
      <w:r>
        <w:rPr>
          <w:rFonts w:ascii="Arial" w:eastAsia="Arial" w:hAnsi="Arial" w:cs="Arial"/>
          <w:color w:val="000000"/>
        </w:rPr>
        <w:t>, a celebração do presente termo, mediante as seguintes cláusulas e condições:</w:t>
      </w:r>
    </w:p>
    <w:p w14:paraId="5CAA76BF" w14:textId="77777777" w:rsidR="00733EE6" w:rsidRDefault="00733EE6">
      <w:pPr>
        <w:pBdr>
          <w:top w:val="nil"/>
          <w:left w:val="nil"/>
          <w:bottom w:val="nil"/>
          <w:right w:val="nil"/>
          <w:between w:val="nil"/>
        </w:pBdr>
        <w:tabs>
          <w:tab w:val="left" w:pos="2310"/>
        </w:tabs>
        <w:spacing w:line="360" w:lineRule="auto"/>
        <w:jc w:val="both"/>
        <w:rPr>
          <w:rFonts w:ascii="Arial" w:eastAsia="Arial" w:hAnsi="Arial" w:cs="Arial"/>
          <w:color w:val="000000"/>
        </w:rPr>
      </w:pPr>
    </w:p>
    <w:p w14:paraId="129A51FC" w14:textId="77777777" w:rsidR="00733EE6" w:rsidRDefault="00000000">
      <w:pPr>
        <w:spacing w:line="360" w:lineRule="auto"/>
        <w:jc w:val="both"/>
        <w:rPr>
          <w:rFonts w:ascii="Arial" w:eastAsia="Arial" w:hAnsi="Arial" w:cs="Arial"/>
          <w:b/>
          <w:bCs/>
        </w:rPr>
      </w:pPr>
      <w:r>
        <w:rPr>
          <w:rFonts w:ascii="Arial" w:eastAsia="Arial" w:hAnsi="Arial" w:cs="Arial"/>
          <w:b/>
          <w:bCs/>
        </w:rPr>
        <w:t>CLÁUSULA PRIMEIRA – DO OBJETO</w:t>
      </w:r>
    </w:p>
    <w:p w14:paraId="4547E6CC" w14:textId="77777777" w:rsidR="00733EE6" w:rsidRDefault="00000000">
      <w:pPr>
        <w:tabs>
          <w:tab w:val="left" w:pos="426"/>
        </w:tabs>
        <w:spacing w:line="360" w:lineRule="auto"/>
        <w:jc w:val="both"/>
        <w:rPr>
          <w:rFonts w:ascii="Arial" w:eastAsia="Arial" w:hAnsi="Arial" w:cs="Arial"/>
        </w:rPr>
      </w:pPr>
      <w:r>
        <w:rPr>
          <w:rFonts w:ascii="Arial" w:eastAsia="Arial" w:hAnsi="Arial" w:cs="Arial"/>
          <w:b/>
          <w:bCs/>
        </w:rPr>
        <w:t>1.1.</w:t>
      </w:r>
      <w:r>
        <w:rPr>
          <w:rFonts w:ascii="Arial" w:eastAsia="Arial" w:hAnsi="Arial" w:cs="Arial"/>
        </w:rPr>
        <w:t xml:space="preserve"> O presente Termo Aditivo tem por objeto a prorrogação do prazo de vigência da Ata de Registro de Preços nº </w:t>
      </w:r>
      <w:r>
        <w:rPr>
          <w:rFonts w:ascii="Arial" w:eastAsia="Arial" w:hAnsi="Arial" w:cs="Arial"/>
          <w:color w:val="4472C4"/>
        </w:rPr>
        <w:t>XX/XXXX</w:t>
      </w:r>
      <w:r>
        <w:rPr>
          <w:rFonts w:ascii="Arial" w:eastAsia="Arial" w:hAnsi="Arial" w:cs="Arial"/>
        </w:rPr>
        <w:t xml:space="preserve">, por mais 1 (um) ano, a contar de </w:t>
      </w:r>
      <w:r>
        <w:rPr>
          <w:rFonts w:ascii="Arial" w:eastAsia="Arial" w:hAnsi="Arial" w:cs="Arial"/>
          <w:color w:val="4472C4"/>
        </w:rPr>
        <w:t>XX/XX/XXXX</w:t>
      </w:r>
      <w:r>
        <w:rPr>
          <w:rFonts w:ascii="Arial" w:eastAsia="Arial" w:hAnsi="Arial" w:cs="Arial"/>
        </w:rPr>
        <w:t xml:space="preserve">, estendendo-se, portanto, até </w:t>
      </w:r>
      <w:r>
        <w:rPr>
          <w:rFonts w:ascii="Arial" w:eastAsia="Arial" w:hAnsi="Arial" w:cs="Arial"/>
          <w:color w:val="4472C4"/>
        </w:rPr>
        <w:t>XX/XX/XXXX, bem como o reajuste dos preços registrados, pela variação do índice XXXX, conforme previamente estipulado na cláusula XXXX do instrumento original</w:t>
      </w:r>
      <w:r>
        <w:rPr>
          <w:rFonts w:ascii="Arial" w:eastAsia="Arial" w:hAnsi="Arial" w:cs="Arial"/>
        </w:rPr>
        <w:t>.</w:t>
      </w:r>
    </w:p>
    <w:p w14:paraId="726DE710" w14:textId="77777777" w:rsidR="00733EE6" w:rsidRDefault="00000000">
      <w:pPr>
        <w:tabs>
          <w:tab w:val="left" w:pos="426"/>
        </w:tabs>
        <w:spacing w:line="360" w:lineRule="auto"/>
        <w:jc w:val="both"/>
        <w:rPr>
          <w:rFonts w:ascii="Arial" w:eastAsia="Arial" w:hAnsi="Arial" w:cs="Arial"/>
          <w:color w:val="FF0000"/>
        </w:rPr>
      </w:pPr>
      <w:r>
        <w:rPr>
          <w:rFonts w:ascii="Arial" w:eastAsia="Arial" w:hAnsi="Arial" w:cs="Arial"/>
          <w:b/>
          <w:bCs/>
          <w:color w:val="FF0000"/>
        </w:rPr>
        <w:t>OBSERVAÇÃO</w:t>
      </w:r>
      <w:r>
        <w:rPr>
          <w:rFonts w:ascii="Arial" w:eastAsia="Arial" w:hAnsi="Arial" w:cs="Arial"/>
          <w:color w:val="FF0000"/>
        </w:rPr>
        <w:t>: Retirar a disposição sobre reajuste dos valores, acaso já tenha ocorrido por meio de termo de apostilamento, ou tenha havido renúncia da detentora da ata em negociação para manutenção da vantajosidade do ajuste.</w:t>
      </w:r>
    </w:p>
    <w:p w14:paraId="7D465189" w14:textId="77777777" w:rsidR="00733EE6" w:rsidRDefault="00000000">
      <w:pPr>
        <w:tabs>
          <w:tab w:val="left" w:pos="426"/>
        </w:tabs>
        <w:spacing w:line="360" w:lineRule="auto"/>
        <w:jc w:val="both"/>
        <w:rPr>
          <w:rFonts w:ascii="Arial" w:eastAsia="Arial" w:hAnsi="Arial" w:cs="Arial"/>
          <w:color w:val="FF0000"/>
        </w:rPr>
      </w:pPr>
      <w:r>
        <w:rPr>
          <w:rFonts w:ascii="Arial" w:eastAsia="Arial" w:hAnsi="Arial" w:cs="Arial"/>
          <w:b/>
          <w:bCs/>
          <w:color w:val="FF0000"/>
        </w:rPr>
        <w:t>OBSERVAÇÃO</w:t>
      </w:r>
      <w:r>
        <w:rPr>
          <w:rFonts w:ascii="Arial" w:eastAsia="Arial" w:hAnsi="Arial" w:cs="Arial"/>
          <w:color w:val="FF0000"/>
        </w:rPr>
        <w:t>: Por meio do Parecer nº 85/2019/DECOR/CGU/AGU, uniformizou-se o entendimento de que</w:t>
      </w:r>
    </w:p>
    <w:p w14:paraId="0DB2F75F" w14:textId="77777777" w:rsidR="00733EE6" w:rsidRDefault="00000000">
      <w:pPr>
        <w:tabs>
          <w:tab w:val="left" w:pos="426"/>
        </w:tabs>
        <w:spacing w:line="360" w:lineRule="auto"/>
        <w:jc w:val="both"/>
        <w:rPr>
          <w:rFonts w:ascii="Arial" w:eastAsia="Arial" w:hAnsi="Arial" w:cs="Arial"/>
          <w:color w:val="FF0000"/>
        </w:rPr>
      </w:pPr>
      <w:r>
        <w:rPr>
          <w:rFonts w:ascii="Arial" w:eastAsia="Arial" w:hAnsi="Arial" w:cs="Arial"/>
          <w:color w:val="FF0000"/>
        </w:rPr>
        <w:t>“a) na esteira do Parecer nº 35/2013/DECOR/CGU/AGU, a contagem do prazo de vigência dos contratos administrativos ocorre pelo método data a data, [...] de maneira que o termo final de vigência corresponde, no mês ou ano seguinte, ao mesmo número do dia do termo inicial;</w:t>
      </w:r>
    </w:p>
    <w:p w14:paraId="25C8C211" w14:textId="77777777" w:rsidR="00733EE6" w:rsidRDefault="00000000">
      <w:pPr>
        <w:tabs>
          <w:tab w:val="left" w:pos="426"/>
        </w:tabs>
        <w:spacing w:line="360" w:lineRule="auto"/>
        <w:jc w:val="both"/>
        <w:rPr>
          <w:rFonts w:ascii="Arial" w:eastAsia="Arial" w:hAnsi="Arial" w:cs="Arial"/>
          <w:color w:val="FF0000"/>
        </w:rPr>
      </w:pPr>
      <w:r>
        <w:rPr>
          <w:rFonts w:ascii="Arial" w:eastAsia="Arial" w:hAnsi="Arial" w:cs="Arial"/>
          <w:color w:val="FF0000"/>
        </w:rPr>
        <w:t>b) os termos aditivos devem ser formalizados até o termo final de vigência do contrato administrativo, inclusive;</w:t>
      </w:r>
    </w:p>
    <w:p w14:paraId="21C9D5C0" w14:textId="77777777" w:rsidR="00733EE6" w:rsidRDefault="00000000">
      <w:pPr>
        <w:tabs>
          <w:tab w:val="left" w:pos="426"/>
        </w:tabs>
        <w:spacing w:line="360" w:lineRule="auto"/>
        <w:jc w:val="both"/>
        <w:rPr>
          <w:rFonts w:ascii="Arial" w:eastAsia="Arial" w:hAnsi="Arial" w:cs="Arial"/>
          <w:color w:val="FF0000"/>
        </w:rPr>
      </w:pPr>
      <w:r>
        <w:rPr>
          <w:rFonts w:ascii="Arial" w:eastAsia="Arial" w:hAnsi="Arial" w:cs="Arial"/>
          <w:color w:val="FF0000"/>
        </w:rPr>
        <w:t>c) o termo inicial de vigência do aditamento corresponde ao dia imediatamente subsequente ao termo final de vigência do contrato administrativo ou de eventual aditamento precedente;</w:t>
      </w:r>
    </w:p>
    <w:p w14:paraId="5719FCD7" w14:textId="77777777" w:rsidR="00733EE6" w:rsidRDefault="00000000">
      <w:pPr>
        <w:tabs>
          <w:tab w:val="left" w:pos="426"/>
        </w:tabs>
        <w:spacing w:line="360" w:lineRule="auto"/>
        <w:jc w:val="both"/>
        <w:rPr>
          <w:rFonts w:ascii="Arial" w:eastAsia="Arial" w:hAnsi="Arial" w:cs="Arial"/>
          <w:color w:val="FF0000"/>
        </w:rPr>
      </w:pPr>
      <w:r>
        <w:rPr>
          <w:rFonts w:ascii="Arial" w:eastAsia="Arial" w:hAnsi="Arial" w:cs="Arial"/>
          <w:color w:val="FF0000"/>
        </w:rPr>
        <w:t>d) o termo final de vigência do aditamento é o dia correspondente, no mês ou ano seguinte, ao mesmo número do dia do termo final de vigência original do contrato administrativo; e</w:t>
      </w:r>
    </w:p>
    <w:p w14:paraId="1B05B8FF" w14:textId="77777777" w:rsidR="00733EE6" w:rsidRDefault="00000000">
      <w:pPr>
        <w:tabs>
          <w:tab w:val="left" w:pos="426"/>
        </w:tabs>
        <w:spacing w:line="360" w:lineRule="auto"/>
        <w:jc w:val="both"/>
        <w:rPr>
          <w:rFonts w:ascii="Arial" w:eastAsia="Arial" w:hAnsi="Arial" w:cs="Arial"/>
          <w:color w:val="FF0000"/>
        </w:rPr>
      </w:pPr>
      <w:r>
        <w:rPr>
          <w:rFonts w:ascii="Arial" w:eastAsia="Arial" w:hAnsi="Arial" w:cs="Arial"/>
          <w:color w:val="FF0000"/>
        </w:rPr>
        <w:t>e) quando no ano ou mês do vencimento não houver o dia correspondente ao do início do prazo, este findará no primeiro dia subsequente (art. 3º da Lei nº 810, de 1949).”</w:t>
      </w:r>
    </w:p>
    <w:p w14:paraId="4596CFE6" w14:textId="77777777" w:rsidR="00733EE6" w:rsidRDefault="00000000">
      <w:pPr>
        <w:tabs>
          <w:tab w:val="left" w:pos="426"/>
        </w:tabs>
        <w:spacing w:line="360" w:lineRule="auto"/>
        <w:jc w:val="both"/>
        <w:rPr>
          <w:rFonts w:ascii="Arial" w:eastAsia="Arial" w:hAnsi="Arial" w:cs="Arial"/>
          <w:color w:val="FF0000"/>
        </w:rPr>
      </w:pPr>
      <w:r>
        <w:rPr>
          <w:rFonts w:ascii="Arial" w:eastAsia="Arial" w:hAnsi="Arial" w:cs="Arial"/>
          <w:color w:val="FF0000"/>
        </w:rPr>
        <w:t xml:space="preserve">Embora o mencionado Parecer se refira a prorrogação de contratos administrativos, a lógica é a mesma para a prorrogação das atas de registro de preços. Assim, se, por exemplo, o prazo inicial de vigência da ARP é o período de 01/02/2026 a 01/02/2027, </w:t>
      </w:r>
      <w:r>
        <w:rPr>
          <w:rFonts w:ascii="Arial" w:eastAsia="Arial" w:hAnsi="Arial" w:cs="Arial"/>
          <w:color w:val="FF0000"/>
        </w:rPr>
        <w:lastRenderedPageBreak/>
        <w:t xml:space="preserve">então a vigência do aditamento subsequente deverá ter início no "dia imediatamente subsequente ao termo final de vigência”, isto é, no dia 02/02/2027. Por sua vez, o termo final da vigência do aditamento será o "dia correspondente, no mês ou ano seguinte, ao mesmo número do dia do termo final de vigência original”, ou seja, 01/02/2028, neste exemplo. </w:t>
      </w:r>
      <w:r>
        <w:rPr>
          <w:rFonts w:ascii="Arial" w:eastAsia="Arial" w:hAnsi="Arial" w:cs="Arial"/>
          <w:color w:val="FF0000"/>
          <w:u w:val="single"/>
        </w:rPr>
        <w:t>Porém, muita atenção para que a assinatura do aditivo seja realizada no máximo até a data final da vigência do ajuste original (neste exemplo, 01/02/2027), sob pena de encerramento do ajuste e consequente inviabilidade de sua prorrogação</w:t>
      </w:r>
      <w:r>
        <w:rPr>
          <w:rFonts w:ascii="Arial" w:eastAsia="Arial" w:hAnsi="Arial" w:cs="Arial"/>
          <w:color w:val="FF0000"/>
        </w:rPr>
        <w:t>.</w:t>
      </w:r>
    </w:p>
    <w:p w14:paraId="45B28C69" w14:textId="77777777" w:rsidR="00733EE6" w:rsidRDefault="00733EE6">
      <w:pPr>
        <w:tabs>
          <w:tab w:val="left" w:pos="426"/>
        </w:tabs>
        <w:spacing w:line="360" w:lineRule="auto"/>
        <w:jc w:val="both"/>
        <w:rPr>
          <w:rFonts w:ascii="Arial" w:eastAsia="Arial" w:hAnsi="Arial" w:cs="Arial"/>
          <w:color w:val="000000"/>
        </w:rPr>
      </w:pPr>
    </w:p>
    <w:p w14:paraId="6DC17A86" w14:textId="77777777" w:rsidR="00733EE6" w:rsidRDefault="00000000">
      <w:pPr>
        <w:spacing w:line="360" w:lineRule="auto"/>
        <w:jc w:val="both"/>
        <w:rPr>
          <w:rFonts w:ascii="Arial" w:eastAsia="Arial" w:hAnsi="Arial" w:cs="Arial"/>
          <w:b/>
          <w:bCs/>
          <w:color w:val="000000"/>
        </w:rPr>
      </w:pPr>
      <w:r>
        <w:rPr>
          <w:rFonts w:ascii="Arial" w:eastAsia="Arial" w:hAnsi="Arial" w:cs="Arial"/>
          <w:b/>
          <w:bCs/>
          <w:color w:val="000000"/>
        </w:rPr>
        <w:t>CLÁUSULA SEGUNDA – DO REAJUSTE</w:t>
      </w:r>
    </w:p>
    <w:p w14:paraId="3286537A" w14:textId="77777777" w:rsidR="00733EE6" w:rsidRDefault="00000000">
      <w:pPr>
        <w:spacing w:line="360" w:lineRule="auto"/>
        <w:jc w:val="both"/>
        <w:rPr>
          <w:rFonts w:ascii="Arial" w:eastAsia="Arial" w:hAnsi="Arial" w:cs="Arial"/>
        </w:rPr>
      </w:pPr>
      <w:r>
        <w:rPr>
          <w:rFonts w:ascii="Arial" w:eastAsia="Arial" w:hAnsi="Arial" w:cs="Arial"/>
          <w:b/>
          <w:bCs/>
          <w:color w:val="000000"/>
        </w:rPr>
        <w:t>2.1.</w:t>
      </w:r>
      <w:r>
        <w:rPr>
          <w:rFonts w:ascii="Arial" w:eastAsia="Arial" w:hAnsi="Arial" w:cs="Arial"/>
          <w:color w:val="000000"/>
        </w:rPr>
        <w:t xml:space="preserve"> </w:t>
      </w:r>
      <w:r>
        <w:rPr>
          <w:rFonts w:ascii="Arial" w:eastAsia="Arial" w:hAnsi="Arial" w:cs="Arial"/>
        </w:rPr>
        <w:t xml:space="preserve">A DETENTORA DA ATA apresentou, por meio de </w:t>
      </w:r>
      <w:r>
        <w:rPr>
          <w:rFonts w:ascii="Arial" w:eastAsia="Arial" w:hAnsi="Arial" w:cs="Arial"/>
          <w:color w:val="4472C4"/>
        </w:rPr>
        <w:t>Comunicação/Ofício XX/XXXX</w:t>
      </w:r>
      <w:r>
        <w:rPr>
          <w:rFonts w:ascii="Arial" w:eastAsia="Arial" w:hAnsi="Arial" w:cs="Arial"/>
        </w:rPr>
        <w:t>, o pedido de reajuste relativo aos preços registrados, o qual se encontra pendente de análise, não operando qualquer preclusão em relação a tal direito após a prorrogação da vigência da ata.</w:t>
      </w:r>
    </w:p>
    <w:p w14:paraId="663D3F44" w14:textId="77777777" w:rsidR="00733EE6" w:rsidRDefault="00000000">
      <w:pPr>
        <w:spacing w:line="360" w:lineRule="auto"/>
        <w:jc w:val="both"/>
        <w:rPr>
          <w:rFonts w:ascii="Arial" w:eastAsia="Arial" w:hAnsi="Arial" w:cs="Arial"/>
          <w:b/>
          <w:bCs/>
          <w:color w:val="FF0000"/>
        </w:rPr>
      </w:pPr>
      <w:r>
        <w:rPr>
          <w:rFonts w:ascii="Arial" w:eastAsia="Arial" w:hAnsi="Arial" w:cs="Arial"/>
          <w:b/>
          <w:bCs/>
          <w:color w:val="FF0000"/>
        </w:rPr>
        <w:t>OBSERVAÇÃO</w:t>
      </w:r>
      <w:r>
        <w:rPr>
          <w:rFonts w:ascii="Arial" w:eastAsia="Arial" w:hAnsi="Arial" w:cs="Arial"/>
          <w:color w:val="FF0000"/>
        </w:rPr>
        <w:t>: O reajuste será formalizado mediante apostilamento, exceto se a sua concessão coincidir com a prorrogação da vigência. Neste caso, estando presentes os pressupostos legais, pode ser acrescentada cláusula de implementação do reajuste no presente aditivo.</w:t>
      </w:r>
    </w:p>
    <w:p w14:paraId="56B10CA3" w14:textId="77777777" w:rsidR="00733EE6" w:rsidRDefault="00000000">
      <w:pPr>
        <w:spacing w:line="360" w:lineRule="auto"/>
        <w:jc w:val="both"/>
        <w:rPr>
          <w:rFonts w:ascii="Arial" w:eastAsia="Arial" w:hAnsi="Arial" w:cs="Arial"/>
        </w:rPr>
      </w:pPr>
      <w:r>
        <w:rPr>
          <w:rFonts w:ascii="Arial" w:eastAsia="Arial" w:hAnsi="Arial" w:cs="Arial"/>
          <w:b/>
          <w:bCs/>
          <w:color w:val="4472C4"/>
        </w:rPr>
        <w:t>2.2.</w:t>
      </w:r>
      <w:r>
        <w:rPr>
          <w:rFonts w:ascii="Arial" w:eastAsia="Arial" w:hAnsi="Arial" w:cs="Arial"/>
          <w:color w:val="4472C4"/>
        </w:rPr>
        <w:t xml:space="preserve"> Por meio deste termo, as partes negociam o direito ao reajustamento, com vistas a garantir a vantajosidade da manutenção do ajuste, estando os preços especificados na Cláusula Terceira. </w:t>
      </w:r>
    </w:p>
    <w:p w14:paraId="613EA97F" w14:textId="77777777" w:rsidR="00733EE6" w:rsidRDefault="00000000">
      <w:pPr>
        <w:spacing w:line="360" w:lineRule="auto"/>
        <w:jc w:val="both"/>
        <w:rPr>
          <w:rFonts w:ascii="Arial" w:eastAsia="Arial" w:hAnsi="Arial" w:cs="Arial"/>
          <w:color w:val="FF0000"/>
        </w:rPr>
      </w:pPr>
      <w:r>
        <w:rPr>
          <w:rFonts w:ascii="Arial" w:eastAsia="Arial" w:hAnsi="Arial" w:cs="Arial"/>
          <w:b/>
          <w:bCs/>
          <w:color w:val="FF0000"/>
        </w:rPr>
        <w:t>OBSERVAÇÃO</w:t>
      </w:r>
      <w:r>
        <w:rPr>
          <w:rFonts w:ascii="Arial" w:eastAsia="Arial" w:hAnsi="Arial" w:cs="Arial"/>
          <w:color w:val="FF0000"/>
        </w:rPr>
        <w:t xml:space="preserve">: Incluir o parágrafo 2.2 somente na hipótese de haver negociação entre as partes com vistas a garantir a vantajosidade da manutenção do ajuste para o interesse público. </w:t>
      </w:r>
    </w:p>
    <w:p w14:paraId="3BF956A3" w14:textId="77777777" w:rsidR="00733EE6" w:rsidRDefault="00000000">
      <w:pPr>
        <w:spacing w:line="360" w:lineRule="auto"/>
        <w:jc w:val="both"/>
        <w:rPr>
          <w:rFonts w:ascii="Arial" w:eastAsia="Arial" w:hAnsi="Arial" w:cs="Arial"/>
          <w:color w:val="FF0000"/>
        </w:rPr>
      </w:pPr>
      <w:r>
        <w:rPr>
          <w:rFonts w:ascii="Arial" w:eastAsia="Arial" w:hAnsi="Arial" w:cs="Arial"/>
          <w:b/>
          <w:bCs/>
          <w:color w:val="FF0000"/>
        </w:rPr>
        <w:t>OBSERVAÇÃO</w:t>
      </w:r>
      <w:r>
        <w:rPr>
          <w:rFonts w:ascii="Arial" w:eastAsia="Arial" w:hAnsi="Arial" w:cs="Arial"/>
          <w:color w:val="FF0000"/>
        </w:rPr>
        <w:t>: Caso não haja reajuste, manter apenas os parágrafos abaixo, renumerando-os. Neste caso, o título da cláusula deve ser “DA RENÚNCIA AO REAJUSTE</w:t>
      </w:r>
      <w:r>
        <w:rPr>
          <w:rFonts w:ascii="Arial" w:eastAsia="Arial" w:hAnsi="Arial" w:cs="Arial"/>
          <w:b/>
          <w:bCs/>
          <w:color w:val="FF0000"/>
        </w:rPr>
        <w:t>”</w:t>
      </w:r>
      <w:r>
        <w:rPr>
          <w:rFonts w:ascii="Arial" w:eastAsia="Arial" w:hAnsi="Arial" w:cs="Arial"/>
          <w:color w:val="FF0000"/>
        </w:rPr>
        <w:t>.</w:t>
      </w:r>
    </w:p>
    <w:p w14:paraId="677D7B76" w14:textId="77777777" w:rsidR="00733EE6" w:rsidRDefault="00000000">
      <w:pPr>
        <w:spacing w:line="360" w:lineRule="auto"/>
        <w:jc w:val="both"/>
        <w:rPr>
          <w:rFonts w:ascii="Arial" w:eastAsia="Arial" w:hAnsi="Arial" w:cs="Arial"/>
          <w:color w:val="4472C4"/>
        </w:rPr>
      </w:pPr>
      <w:r>
        <w:rPr>
          <w:rFonts w:ascii="Arial" w:eastAsia="Arial" w:hAnsi="Arial" w:cs="Arial"/>
          <w:b/>
          <w:bCs/>
          <w:color w:val="4472C4"/>
        </w:rPr>
        <w:t>2.3.</w:t>
      </w:r>
      <w:r>
        <w:rPr>
          <w:rFonts w:ascii="Arial" w:eastAsia="Arial" w:hAnsi="Arial" w:cs="Arial"/>
          <w:color w:val="4472C4"/>
        </w:rPr>
        <w:t xml:space="preserve"> A DETENTORA DA ATA renuncia expressamente a qualquer reajuste referente a parcelas pretéritas sobre as quais não tenha formulado efetivo e tempestivo pedido de reajuste até a data anterior à implementação da prorrogação da vigência.</w:t>
      </w:r>
    </w:p>
    <w:p w14:paraId="53F64C50" w14:textId="77777777" w:rsidR="00733EE6" w:rsidRDefault="00000000">
      <w:pPr>
        <w:spacing w:line="360" w:lineRule="auto"/>
        <w:jc w:val="both"/>
        <w:rPr>
          <w:rFonts w:ascii="Arial" w:eastAsia="Arial" w:hAnsi="Arial" w:cs="Arial"/>
          <w:color w:val="4472C4"/>
        </w:rPr>
      </w:pPr>
      <w:r>
        <w:rPr>
          <w:rFonts w:ascii="Arial" w:eastAsia="Arial" w:hAnsi="Arial" w:cs="Arial"/>
          <w:b/>
          <w:bCs/>
          <w:color w:val="FF0000"/>
        </w:rPr>
        <w:t>OBSERVAÇÃO</w:t>
      </w:r>
      <w:r>
        <w:rPr>
          <w:rFonts w:ascii="Arial" w:eastAsia="Arial" w:hAnsi="Arial" w:cs="Arial"/>
          <w:color w:val="FF0000"/>
        </w:rPr>
        <w:t>: Suprimir o parágrafo 2.3 se não houver renúncia ao reajuste.</w:t>
      </w:r>
    </w:p>
    <w:p w14:paraId="2ADA68DD" w14:textId="77777777" w:rsidR="00733EE6" w:rsidRDefault="00000000">
      <w:pPr>
        <w:spacing w:line="360" w:lineRule="auto"/>
        <w:jc w:val="both"/>
        <w:rPr>
          <w:rFonts w:ascii="Arial" w:eastAsia="Arial" w:hAnsi="Arial" w:cs="Arial"/>
        </w:rPr>
      </w:pPr>
      <w:r>
        <w:rPr>
          <w:rFonts w:ascii="Arial" w:eastAsia="Arial" w:hAnsi="Arial" w:cs="Arial"/>
          <w:b/>
          <w:bCs/>
          <w:color w:val="000000"/>
        </w:rPr>
        <w:t>2.4.</w:t>
      </w:r>
      <w:r>
        <w:rPr>
          <w:rFonts w:ascii="Arial" w:eastAsia="Arial" w:hAnsi="Arial" w:cs="Arial"/>
          <w:color w:val="000000"/>
        </w:rPr>
        <w:t xml:space="preserve"> A anualidade dos reajustes será sempre contada a partir da data do fato gerador que deu ensejo ao último reajuste concedido ou objeto de renúncia</w:t>
      </w:r>
      <w:r>
        <w:rPr>
          <w:rFonts w:ascii="Arial" w:eastAsia="Arial" w:hAnsi="Arial" w:cs="Arial"/>
        </w:rPr>
        <w:t>.</w:t>
      </w:r>
    </w:p>
    <w:p w14:paraId="17F5AAEC" w14:textId="77777777" w:rsidR="00733EE6" w:rsidRDefault="00733EE6">
      <w:pPr>
        <w:spacing w:line="360" w:lineRule="auto"/>
        <w:jc w:val="both"/>
        <w:rPr>
          <w:rFonts w:ascii="Arial" w:eastAsia="Arial" w:hAnsi="Arial" w:cs="Arial"/>
        </w:rPr>
      </w:pPr>
    </w:p>
    <w:p w14:paraId="46AAE1E5" w14:textId="77777777" w:rsidR="00733EE6" w:rsidRDefault="00000000">
      <w:pPr>
        <w:spacing w:line="360" w:lineRule="auto"/>
        <w:jc w:val="both"/>
        <w:rPr>
          <w:rFonts w:ascii="Arial" w:eastAsia="Arial" w:hAnsi="Arial" w:cs="Arial"/>
          <w:b/>
          <w:bCs/>
        </w:rPr>
      </w:pPr>
      <w:r>
        <w:rPr>
          <w:rFonts w:ascii="Arial" w:eastAsia="Arial" w:hAnsi="Arial" w:cs="Arial"/>
          <w:b/>
          <w:bCs/>
        </w:rPr>
        <w:lastRenderedPageBreak/>
        <w:t>CLÁUSULA TERCEIRA – DOS PREÇOS</w:t>
      </w:r>
    </w:p>
    <w:p w14:paraId="24A8F6F1" w14:textId="77777777" w:rsidR="00733EE6" w:rsidRDefault="00000000">
      <w:pPr>
        <w:spacing w:line="360" w:lineRule="auto"/>
        <w:jc w:val="both"/>
        <w:rPr>
          <w:rFonts w:ascii="Arial" w:eastAsia="Arial" w:hAnsi="Arial" w:cs="Arial"/>
        </w:rPr>
      </w:pPr>
      <w:r>
        <w:rPr>
          <w:rFonts w:ascii="Arial" w:eastAsia="Arial" w:hAnsi="Arial" w:cs="Arial"/>
          <w:b/>
          <w:bCs/>
        </w:rPr>
        <w:t>3.1.</w:t>
      </w:r>
      <w:r>
        <w:rPr>
          <w:rFonts w:ascii="Arial" w:eastAsia="Arial" w:hAnsi="Arial" w:cs="Arial"/>
        </w:rPr>
        <w:t xml:space="preserve"> Havendo necessidade de contratação, o CONTRATANTE pagará à DETENTORA DA ATA, pela exata quantidade demandada, os seguintes preços registrados, </w:t>
      </w:r>
      <w:r>
        <w:rPr>
          <w:rFonts w:ascii="Arial" w:eastAsia="Arial" w:hAnsi="Arial" w:cs="Arial"/>
          <w:color w:val="4472C4"/>
        </w:rPr>
        <w:t>com o reajuste estipulado na Cláusula Segunda</w:t>
      </w:r>
      <w:r>
        <w:rPr>
          <w:rFonts w:ascii="Arial" w:eastAsia="Arial" w:hAnsi="Arial" w:cs="Arial"/>
        </w:rPr>
        <w:t>:</w:t>
      </w:r>
    </w:p>
    <w:tbl>
      <w:tblPr>
        <w:tblStyle w:val="a0"/>
        <w:tblW w:w="9067"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
        <w:gridCol w:w="3686"/>
        <w:gridCol w:w="992"/>
        <w:gridCol w:w="1985"/>
        <w:gridCol w:w="1842"/>
      </w:tblGrid>
      <w:tr w:rsidR="00733EE6" w14:paraId="7E36D92E" w14:textId="77777777">
        <w:trPr>
          <w:trHeight w:val="22"/>
          <w:jc w:val="center"/>
        </w:trPr>
        <w:tc>
          <w:tcPr>
            <w:tcW w:w="562" w:type="dxa"/>
            <w:shd w:val="clear" w:color="auto" w:fill="002060"/>
            <w:vAlign w:val="center"/>
          </w:tcPr>
          <w:p w14:paraId="011652D9" w14:textId="77777777" w:rsidR="00733EE6" w:rsidRDefault="00000000">
            <w:pPr>
              <w:ind w:left="-70" w:right="-70"/>
              <w:jc w:val="center"/>
              <w:rPr>
                <w:rFonts w:ascii="Arial" w:eastAsia="Arial" w:hAnsi="Arial" w:cs="Arial"/>
                <w:sz w:val="20"/>
                <w:szCs w:val="20"/>
              </w:rPr>
            </w:pPr>
            <w:r>
              <w:rPr>
                <w:rFonts w:ascii="Arial" w:eastAsia="Arial" w:hAnsi="Arial" w:cs="Arial"/>
                <w:sz w:val="20"/>
                <w:szCs w:val="20"/>
              </w:rPr>
              <w:t>ITEM</w:t>
            </w:r>
          </w:p>
        </w:tc>
        <w:tc>
          <w:tcPr>
            <w:tcW w:w="3686" w:type="dxa"/>
            <w:shd w:val="clear" w:color="auto" w:fill="002060"/>
            <w:vAlign w:val="center"/>
          </w:tcPr>
          <w:p w14:paraId="5074F365" w14:textId="77777777" w:rsidR="00733EE6" w:rsidRDefault="00000000">
            <w:pPr>
              <w:jc w:val="center"/>
              <w:rPr>
                <w:rFonts w:ascii="Arial" w:eastAsia="Arial" w:hAnsi="Arial" w:cs="Arial"/>
                <w:sz w:val="20"/>
                <w:szCs w:val="20"/>
              </w:rPr>
            </w:pPr>
            <w:r>
              <w:rPr>
                <w:rFonts w:ascii="Arial" w:eastAsia="Arial" w:hAnsi="Arial" w:cs="Arial"/>
                <w:sz w:val="20"/>
                <w:szCs w:val="20"/>
              </w:rPr>
              <w:t>DESCRIÇÃO</w:t>
            </w:r>
          </w:p>
        </w:tc>
        <w:tc>
          <w:tcPr>
            <w:tcW w:w="992" w:type="dxa"/>
            <w:shd w:val="clear" w:color="auto" w:fill="002060"/>
            <w:vAlign w:val="center"/>
          </w:tcPr>
          <w:p w14:paraId="31AA5C1C" w14:textId="77777777" w:rsidR="00733EE6" w:rsidRDefault="00000000">
            <w:pPr>
              <w:ind w:left="-28" w:right="-34"/>
              <w:jc w:val="center"/>
              <w:rPr>
                <w:rFonts w:ascii="Arial" w:eastAsia="Arial" w:hAnsi="Arial" w:cs="Arial"/>
                <w:sz w:val="20"/>
                <w:szCs w:val="20"/>
              </w:rPr>
            </w:pPr>
            <w:r>
              <w:rPr>
                <w:rFonts w:ascii="Arial" w:eastAsia="Arial" w:hAnsi="Arial" w:cs="Arial"/>
                <w:sz w:val="20"/>
                <w:szCs w:val="20"/>
              </w:rPr>
              <w:t>QUANT. MÁXIMA</w:t>
            </w:r>
          </w:p>
        </w:tc>
        <w:tc>
          <w:tcPr>
            <w:tcW w:w="1985" w:type="dxa"/>
            <w:shd w:val="clear" w:color="auto" w:fill="002060"/>
            <w:vAlign w:val="center"/>
          </w:tcPr>
          <w:p w14:paraId="6F9C6B1F" w14:textId="77777777" w:rsidR="00733EE6" w:rsidRDefault="00000000">
            <w:pPr>
              <w:jc w:val="center"/>
              <w:rPr>
                <w:rFonts w:ascii="Arial" w:eastAsia="Arial" w:hAnsi="Arial" w:cs="Arial"/>
                <w:sz w:val="20"/>
                <w:szCs w:val="20"/>
              </w:rPr>
            </w:pPr>
            <w:r>
              <w:rPr>
                <w:rFonts w:ascii="Arial" w:eastAsia="Arial" w:hAnsi="Arial" w:cs="Arial"/>
                <w:sz w:val="20"/>
                <w:szCs w:val="20"/>
              </w:rPr>
              <w:t>VALOR UNITÁRIO</w:t>
            </w:r>
          </w:p>
        </w:tc>
        <w:tc>
          <w:tcPr>
            <w:tcW w:w="1842" w:type="dxa"/>
            <w:shd w:val="clear" w:color="auto" w:fill="002060"/>
            <w:vAlign w:val="center"/>
          </w:tcPr>
          <w:p w14:paraId="5EC67301" w14:textId="77777777" w:rsidR="00733EE6" w:rsidRDefault="00000000">
            <w:pPr>
              <w:jc w:val="center"/>
              <w:rPr>
                <w:rFonts w:ascii="Arial" w:eastAsia="Arial" w:hAnsi="Arial" w:cs="Arial"/>
                <w:sz w:val="20"/>
                <w:szCs w:val="20"/>
              </w:rPr>
            </w:pPr>
            <w:r>
              <w:rPr>
                <w:rFonts w:ascii="Arial" w:eastAsia="Arial" w:hAnsi="Arial" w:cs="Arial"/>
                <w:sz w:val="20"/>
                <w:szCs w:val="20"/>
              </w:rPr>
              <w:t>VALOR MÁXIMO</w:t>
            </w:r>
          </w:p>
        </w:tc>
      </w:tr>
      <w:tr w:rsidR="00733EE6" w14:paraId="5FC09021" w14:textId="77777777">
        <w:trPr>
          <w:trHeight w:val="22"/>
          <w:jc w:val="center"/>
        </w:trPr>
        <w:tc>
          <w:tcPr>
            <w:tcW w:w="562" w:type="dxa"/>
            <w:vAlign w:val="center"/>
          </w:tcPr>
          <w:p w14:paraId="1936C887" w14:textId="77777777" w:rsidR="00733EE6" w:rsidRDefault="00000000">
            <w:pPr>
              <w:jc w:val="center"/>
              <w:rPr>
                <w:rFonts w:ascii="Arial" w:eastAsia="Arial" w:hAnsi="Arial" w:cs="Arial"/>
                <w:sz w:val="20"/>
                <w:szCs w:val="20"/>
              </w:rPr>
            </w:pPr>
            <w:r>
              <w:rPr>
                <w:rFonts w:ascii="Arial" w:eastAsia="Arial" w:hAnsi="Arial" w:cs="Arial"/>
                <w:sz w:val="20"/>
                <w:szCs w:val="20"/>
              </w:rPr>
              <w:t>01</w:t>
            </w:r>
          </w:p>
        </w:tc>
        <w:tc>
          <w:tcPr>
            <w:tcW w:w="3686" w:type="dxa"/>
            <w:vAlign w:val="center"/>
          </w:tcPr>
          <w:p w14:paraId="65B79E9C" w14:textId="77777777" w:rsidR="00733EE6" w:rsidRDefault="00000000">
            <w:pPr>
              <w:ind w:left="-42" w:right="-49"/>
              <w:jc w:val="both"/>
              <w:rPr>
                <w:rFonts w:ascii="Arial" w:eastAsia="Arial" w:hAnsi="Arial" w:cs="Arial"/>
                <w:sz w:val="20"/>
                <w:szCs w:val="20"/>
              </w:rPr>
            </w:pPr>
            <w:r>
              <w:rPr>
                <w:rFonts w:ascii="Arial" w:eastAsia="Arial" w:hAnsi="Arial" w:cs="Arial"/>
                <w:sz w:val="20"/>
                <w:szCs w:val="20"/>
              </w:rPr>
              <w:t>XXXX</w:t>
            </w:r>
          </w:p>
        </w:tc>
        <w:tc>
          <w:tcPr>
            <w:tcW w:w="992" w:type="dxa"/>
            <w:vAlign w:val="center"/>
          </w:tcPr>
          <w:p w14:paraId="504CB005" w14:textId="77777777" w:rsidR="00733EE6" w:rsidRDefault="00000000">
            <w:pPr>
              <w:jc w:val="center"/>
              <w:rPr>
                <w:rFonts w:ascii="Arial" w:eastAsia="Arial" w:hAnsi="Arial" w:cs="Arial"/>
                <w:sz w:val="20"/>
                <w:szCs w:val="20"/>
                <w:highlight w:val="yellow"/>
              </w:rPr>
            </w:pPr>
            <w:r>
              <w:rPr>
                <w:rFonts w:ascii="Arial" w:eastAsia="Arial" w:hAnsi="Arial" w:cs="Arial"/>
                <w:sz w:val="20"/>
                <w:szCs w:val="20"/>
              </w:rPr>
              <w:t>XXXX</w:t>
            </w:r>
          </w:p>
        </w:tc>
        <w:tc>
          <w:tcPr>
            <w:tcW w:w="1985" w:type="dxa"/>
            <w:vAlign w:val="center"/>
          </w:tcPr>
          <w:p w14:paraId="2909987E" w14:textId="77777777" w:rsidR="00733EE6" w:rsidRDefault="00000000">
            <w:pPr>
              <w:jc w:val="center"/>
              <w:rPr>
                <w:rFonts w:ascii="Arial" w:eastAsia="Arial" w:hAnsi="Arial" w:cs="Arial"/>
                <w:sz w:val="20"/>
                <w:szCs w:val="20"/>
              </w:rPr>
            </w:pPr>
            <w:r>
              <w:rPr>
                <w:rFonts w:ascii="Arial" w:eastAsia="Arial" w:hAnsi="Arial" w:cs="Arial"/>
                <w:sz w:val="20"/>
                <w:szCs w:val="20"/>
              </w:rPr>
              <w:t>R$ XXXX</w:t>
            </w:r>
          </w:p>
        </w:tc>
        <w:tc>
          <w:tcPr>
            <w:tcW w:w="1842" w:type="dxa"/>
            <w:vAlign w:val="center"/>
          </w:tcPr>
          <w:p w14:paraId="702BEA18" w14:textId="77777777" w:rsidR="00733EE6" w:rsidRDefault="00000000">
            <w:pPr>
              <w:ind w:right="356"/>
              <w:jc w:val="center"/>
              <w:rPr>
                <w:rFonts w:ascii="Arial" w:eastAsia="Arial" w:hAnsi="Arial" w:cs="Arial"/>
                <w:sz w:val="20"/>
                <w:szCs w:val="20"/>
              </w:rPr>
            </w:pPr>
            <w:r>
              <w:rPr>
                <w:rFonts w:ascii="Arial" w:eastAsia="Arial" w:hAnsi="Arial" w:cs="Arial"/>
                <w:sz w:val="20"/>
                <w:szCs w:val="20"/>
              </w:rPr>
              <w:t xml:space="preserve">      R$ XXXX</w:t>
            </w:r>
          </w:p>
        </w:tc>
      </w:tr>
      <w:tr w:rsidR="00733EE6" w14:paraId="2370CD5C" w14:textId="77777777">
        <w:trPr>
          <w:trHeight w:val="22"/>
          <w:jc w:val="center"/>
        </w:trPr>
        <w:tc>
          <w:tcPr>
            <w:tcW w:w="562" w:type="dxa"/>
            <w:vAlign w:val="center"/>
          </w:tcPr>
          <w:p w14:paraId="7966341A" w14:textId="77777777" w:rsidR="00733EE6" w:rsidRDefault="00000000">
            <w:pPr>
              <w:jc w:val="center"/>
              <w:rPr>
                <w:rFonts w:ascii="Arial" w:eastAsia="Arial" w:hAnsi="Arial" w:cs="Arial"/>
                <w:sz w:val="20"/>
                <w:szCs w:val="20"/>
              </w:rPr>
            </w:pPr>
            <w:r>
              <w:rPr>
                <w:rFonts w:ascii="Arial" w:eastAsia="Arial" w:hAnsi="Arial" w:cs="Arial"/>
                <w:sz w:val="20"/>
                <w:szCs w:val="20"/>
              </w:rPr>
              <w:t>02</w:t>
            </w:r>
          </w:p>
        </w:tc>
        <w:tc>
          <w:tcPr>
            <w:tcW w:w="3686" w:type="dxa"/>
            <w:vAlign w:val="center"/>
          </w:tcPr>
          <w:p w14:paraId="60E9BBC9" w14:textId="77777777" w:rsidR="00733EE6" w:rsidRDefault="00000000">
            <w:pPr>
              <w:ind w:left="-42" w:right="-49"/>
              <w:jc w:val="both"/>
              <w:rPr>
                <w:rFonts w:ascii="Arial" w:eastAsia="Arial" w:hAnsi="Arial" w:cs="Arial"/>
                <w:sz w:val="20"/>
                <w:szCs w:val="20"/>
              </w:rPr>
            </w:pPr>
            <w:r>
              <w:rPr>
                <w:rFonts w:ascii="Arial" w:eastAsia="Arial" w:hAnsi="Arial" w:cs="Arial"/>
                <w:sz w:val="20"/>
                <w:szCs w:val="20"/>
              </w:rPr>
              <w:t>XXXX</w:t>
            </w:r>
          </w:p>
        </w:tc>
        <w:tc>
          <w:tcPr>
            <w:tcW w:w="992" w:type="dxa"/>
            <w:vAlign w:val="center"/>
          </w:tcPr>
          <w:p w14:paraId="01D5EF0E" w14:textId="77777777" w:rsidR="00733EE6" w:rsidRDefault="00000000">
            <w:pPr>
              <w:jc w:val="center"/>
              <w:rPr>
                <w:rFonts w:ascii="Arial" w:eastAsia="Arial" w:hAnsi="Arial" w:cs="Arial"/>
                <w:sz w:val="20"/>
                <w:szCs w:val="20"/>
              </w:rPr>
            </w:pPr>
            <w:r>
              <w:rPr>
                <w:rFonts w:ascii="Arial" w:eastAsia="Arial" w:hAnsi="Arial" w:cs="Arial"/>
                <w:sz w:val="20"/>
                <w:szCs w:val="20"/>
              </w:rPr>
              <w:t>XXXX</w:t>
            </w:r>
          </w:p>
        </w:tc>
        <w:tc>
          <w:tcPr>
            <w:tcW w:w="1985" w:type="dxa"/>
            <w:vAlign w:val="center"/>
          </w:tcPr>
          <w:p w14:paraId="0740A82F" w14:textId="77777777" w:rsidR="00733EE6" w:rsidRDefault="00000000">
            <w:pPr>
              <w:jc w:val="center"/>
              <w:rPr>
                <w:rFonts w:ascii="Arial" w:eastAsia="Arial" w:hAnsi="Arial" w:cs="Arial"/>
                <w:sz w:val="20"/>
                <w:szCs w:val="20"/>
              </w:rPr>
            </w:pPr>
            <w:r>
              <w:rPr>
                <w:rFonts w:ascii="Arial" w:eastAsia="Arial" w:hAnsi="Arial" w:cs="Arial"/>
                <w:sz w:val="20"/>
                <w:szCs w:val="20"/>
              </w:rPr>
              <w:t>R$ XXXX</w:t>
            </w:r>
          </w:p>
        </w:tc>
        <w:tc>
          <w:tcPr>
            <w:tcW w:w="1842" w:type="dxa"/>
            <w:vAlign w:val="center"/>
          </w:tcPr>
          <w:p w14:paraId="5680BA1D" w14:textId="77777777" w:rsidR="00733EE6" w:rsidRDefault="00000000">
            <w:pPr>
              <w:jc w:val="center"/>
              <w:rPr>
                <w:rFonts w:ascii="Arial" w:eastAsia="Arial" w:hAnsi="Arial" w:cs="Arial"/>
                <w:sz w:val="20"/>
                <w:szCs w:val="20"/>
              </w:rPr>
            </w:pPr>
            <w:r>
              <w:rPr>
                <w:rFonts w:ascii="Arial" w:eastAsia="Arial" w:hAnsi="Arial" w:cs="Arial"/>
                <w:sz w:val="20"/>
                <w:szCs w:val="20"/>
              </w:rPr>
              <w:t>R$ XXXX</w:t>
            </w:r>
          </w:p>
        </w:tc>
      </w:tr>
      <w:tr w:rsidR="00733EE6" w14:paraId="2E755733" w14:textId="77777777">
        <w:trPr>
          <w:trHeight w:val="22"/>
          <w:jc w:val="center"/>
        </w:trPr>
        <w:tc>
          <w:tcPr>
            <w:tcW w:w="562" w:type="dxa"/>
            <w:vAlign w:val="center"/>
          </w:tcPr>
          <w:p w14:paraId="3982FD04" w14:textId="77777777" w:rsidR="00733EE6" w:rsidRDefault="00000000">
            <w:pPr>
              <w:jc w:val="center"/>
              <w:rPr>
                <w:rFonts w:ascii="Arial" w:eastAsia="Arial" w:hAnsi="Arial" w:cs="Arial"/>
                <w:sz w:val="20"/>
                <w:szCs w:val="20"/>
              </w:rPr>
            </w:pPr>
            <w:r>
              <w:rPr>
                <w:rFonts w:ascii="Arial" w:eastAsia="Arial" w:hAnsi="Arial" w:cs="Arial"/>
                <w:sz w:val="20"/>
                <w:szCs w:val="20"/>
              </w:rPr>
              <w:t>[...]</w:t>
            </w:r>
          </w:p>
        </w:tc>
        <w:tc>
          <w:tcPr>
            <w:tcW w:w="3686" w:type="dxa"/>
            <w:vAlign w:val="center"/>
          </w:tcPr>
          <w:p w14:paraId="71315DF0" w14:textId="77777777" w:rsidR="00733EE6" w:rsidRDefault="00000000">
            <w:pPr>
              <w:ind w:left="-42" w:right="-49"/>
              <w:jc w:val="both"/>
              <w:rPr>
                <w:rFonts w:ascii="Arial" w:eastAsia="Arial" w:hAnsi="Arial" w:cs="Arial"/>
                <w:sz w:val="20"/>
                <w:szCs w:val="20"/>
              </w:rPr>
            </w:pPr>
            <w:r>
              <w:rPr>
                <w:rFonts w:ascii="Arial" w:eastAsia="Arial" w:hAnsi="Arial" w:cs="Arial"/>
                <w:sz w:val="20"/>
                <w:szCs w:val="20"/>
              </w:rPr>
              <w:t>[...]</w:t>
            </w:r>
          </w:p>
        </w:tc>
        <w:tc>
          <w:tcPr>
            <w:tcW w:w="992" w:type="dxa"/>
            <w:vAlign w:val="center"/>
          </w:tcPr>
          <w:p w14:paraId="0DEDB813" w14:textId="77777777" w:rsidR="00733EE6" w:rsidRDefault="00733EE6">
            <w:pPr>
              <w:jc w:val="both"/>
              <w:rPr>
                <w:rFonts w:ascii="Arial" w:eastAsia="Arial" w:hAnsi="Arial" w:cs="Arial"/>
                <w:sz w:val="20"/>
                <w:szCs w:val="20"/>
              </w:rPr>
            </w:pPr>
          </w:p>
        </w:tc>
        <w:tc>
          <w:tcPr>
            <w:tcW w:w="1985" w:type="dxa"/>
            <w:vAlign w:val="center"/>
          </w:tcPr>
          <w:p w14:paraId="73BB7C5A" w14:textId="77777777" w:rsidR="00733EE6" w:rsidRDefault="00733EE6">
            <w:pPr>
              <w:jc w:val="both"/>
              <w:rPr>
                <w:rFonts w:ascii="Arial" w:eastAsia="Arial" w:hAnsi="Arial" w:cs="Arial"/>
                <w:sz w:val="20"/>
                <w:szCs w:val="20"/>
              </w:rPr>
            </w:pPr>
          </w:p>
        </w:tc>
        <w:tc>
          <w:tcPr>
            <w:tcW w:w="1842" w:type="dxa"/>
            <w:vAlign w:val="center"/>
          </w:tcPr>
          <w:p w14:paraId="7A9E8586" w14:textId="77777777" w:rsidR="00733EE6" w:rsidRDefault="00733EE6">
            <w:pPr>
              <w:jc w:val="both"/>
              <w:rPr>
                <w:rFonts w:ascii="Arial" w:eastAsia="Arial" w:hAnsi="Arial" w:cs="Arial"/>
                <w:sz w:val="20"/>
                <w:szCs w:val="20"/>
              </w:rPr>
            </w:pPr>
          </w:p>
        </w:tc>
      </w:tr>
    </w:tbl>
    <w:p w14:paraId="669EFA32" w14:textId="77777777" w:rsidR="00733EE6" w:rsidRDefault="00000000">
      <w:pPr>
        <w:spacing w:line="360" w:lineRule="auto"/>
        <w:jc w:val="both"/>
        <w:rPr>
          <w:rFonts w:ascii="Arial" w:eastAsia="Arial" w:hAnsi="Arial" w:cs="Arial"/>
          <w:color w:val="4472C4"/>
        </w:rPr>
      </w:pPr>
      <w:r>
        <w:rPr>
          <w:rFonts w:ascii="Arial" w:eastAsia="Arial" w:hAnsi="Arial" w:cs="Arial"/>
          <w:b/>
          <w:bCs/>
          <w:color w:val="FF0000"/>
        </w:rPr>
        <w:t>OBSERVAÇÃO</w:t>
      </w:r>
      <w:r>
        <w:rPr>
          <w:rFonts w:ascii="Arial" w:eastAsia="Arial" w:hAnsi="Arial" w:cs="Arial"/>
          <w:color w:val="FF0000"/>
        </w:rPr>
        <w:t>: Suprimir o trecho em azul se não houver reajuste de valores de modo concomitante à prorrogação da vigência.</w:t>
      </w:r>
    </w:p>
    <w:p w14:paraId="7BF1329E" w14:textId="77777777" w:rsidR="00733EE6" w:rsidRDefault="00733EE6">
      <w:pPr>
        <w:spacing w:line="360" w:lineRule="auto"/>
        <w:jc w:val="both"/>
        <w:rPr>
          <w:rFonts w:ascii="Arial" w:eastAsia="Arial" w:hAnsi="Arial" w:cs="Arial"/>
          <w:b/>
          <w:bCs/>
        </w:rPr>
      </w:pPr>
    </w:p>
    <w:p w14:paraId="6F2FCB29" w14:textId="77777777" w:rsidR="00733EE6" w:rsidRDefault="00000000">
      <w:pPr>
        <w:tabs>
          <w:tab w:val="left" w:pos="426"/>
        </w:tabs>
        <w:spacing w:line="360" w:lineRule="auto"/>
        <w:jc w:val="both"/>
        <w:rPr>
          <w:rFonts w:ascii="Arial" w:eastAsia="Arial" w:hAnsi="Arial" w:cs="Arial"/>
        </w:rPr>
      </w:pPr>
      <w:r>
        <w:rPr>
          <w:rFonts w:ascii="Arial" w:eastAsia="Arial" w:hAnsi="Arial" w:cs="Arial"/>
          <w:b/>
          <w:bCs/>
        </w:rPr>
        <w:t>CLÁUSULA QUARTA – DA RENOVAÇÃO DOS QUANTITATIVOS</w:t>
      </w:r>
    </w:p>
    <w:p w14:paraId="1791D62A" w14:textId="77777777" w:rsidR="00733EE6" w:rsidRDefault="00000000">
      <w:pPr>
        <w:pBdr>
          <w:top w:val="nil"/>
          <w:left w:val="nil"/>
          <w:bottom w:val="nil"/>
          <w:right w:val="nil"/>
          <w:between w:val="nil"/>
        </w:pBdr>
        <w:spacing w:line="360" w:lineRule="auto"/>
        <w:jc w:val="both"/>
        <w:rPr>
          <w:rFonts w:ascii="Arial" w:eastAsia="Arial" w:hAnsi="Arial" w:cs="Arial"/>
          <w:color w:val="000000"/>
        </w:rPr>
      </w:pPr>
      <w:r>
        <w:rPr>
          <w:rFonts w:ascii="Arial" w:eastAsia="Arial" w:hAnsi="Arial" w:cs="Arial"/>
          <w:b/>
          <w:bCs/>
          <w:color w:val="000000"/>
        </w:rPr>
        <w:t>4.1.</w:t>
      </w:r>
      <w:r>
        <w:rPr>
          <w:rFonts w:ascii="Arial" w:eastAsia="Arial" w:hAnsi="Arial" w:cs="Arial"/>
          <w:color w:val="000000"/>
        </w:rPr>
        <w:t xml:space="preserve"> Fica expressamente pactuado que a prorrogação de que trata a Cláusula Primeira deste instrumento implica a renovação total dos quantitativos de todos os itens registrados na Ata de Registro de Preços nº </w:t>
      </w:r>
      <w:r>
        <w:rPr>
          <w:rFonts w:ascii="Arial" w:eastAsia="Arial" w:hAnsi="Arial" w:cs="Arial"/>
          <w:color w:val="0070C0"/>
        </w:rPr>
        <w:t>XX/XXXX</w:t>
      </w:r>
      <w:r>
        <w:rPr>
          <w:rFonts w:ascii="Arial" w:eastAsia="Arial" w:hAnsi="Arial" w:cs="Arial"/>
          <w:color w:val="000000"/>
        </w:rPr>
        <w:t xml:space="preserve">, de modo que </w:t>
      </w:r>
      <w:r>
        <w:rPr>
          <w:rFonts w:ascii="Arial" w:eastAsia="Arial" w:hAnsi="Arial" w:cs="Arial"/>
          <w:color w:val="000000"/>
          <w:u w:val="single"/>
        </w:rPr>
        <w:t>as quantidades máximas</w:t>
      </w:r>
      <w:r>
        <w:rPr>
          <w:rFonts w:ascii="Arial" w:eastAsia="Arial" w:hAnsi="Arial" w:cs="Arial"/>
          <w:color w:val="000000"/>
        </w:rPr>
        <w:t xml:space="preserve"> originalmente previstas tornam-se novamente disponíveis para aquisição pelo CONTRATANTE ao longo do novo período de vigência, não se tratando, portanto, de mera utilização de saldo remanescente, mas sim da restauração completa da capacidade de fornecimento prevista no ajuste original.</w:t>
      </w:r>
    </w:p>
    <w:p w14:paraId="50D1BCE2" w14:textId="77777777" w:rsidR="00733EE6" w:rsidRDefault="00000000">
      <w:pPr>
        <w:pBdr>
          <w:top w:val="nil"/>
          <w:left w:val="nil"/>
          <w:bottom w:val="nil"/>
          <w:right w:val="nil"/>
          <w:between w:val="nil"/>
        </w:pBdr>
        <w:spacing w:before="120" w:after="120" w:line="360" w:lineRule="auto"/>
        <w:jc w:val="both"/>
        <w:rPr>
          <w:rFonts w:ascii="Arial" w:eastAsia="Arial" w:hAnsi="Arial" w:cs="Arial"/>
          <w:color w:val="000000"/>
          <w:sz w:val="20"/>
          <w:szCs w:val="20"/>
        </w:rPr>
      </w:pPr>
      <w:r>
        <w:rPr>
          <w:rFonts w:ascii="Arial" w:eastAsia="Arial" w:hAnsi="Arial" w:cs="Arial"/>
          <w:b/>
          <w:bCs/>
          <w:color w:val="000000"/>
        </w:rPr>
        <w:t>4.2.</w:t>
      </w:r>
      <w:r>
        <w:rPr>
          <w:rFonts w:ascii="Arial" w:eastAsia="Arial" w:hAnsi="Arial" w:cs="Arial"/>
          <w:color w:val="000000"/>
        </w:rPr>
        <w:t xml:space="preserve"> Fica expressamente pactuado entre as partes que o presente Termo Aditivo não implica qualquer forma de acréscimo aos quantitativos totais originalmente definidos no instrumento, sendo vedada a emissão de ordens de fornecimento ou de serviços que extrapolem o quantitativo renovado.</w:t>
      </w:r>
    </w:p>
    <w:p w14:paraId="194809B6" w14:textId="77777777" w:rsidR="00733EE6" w:rsidRDefault="00000000">
      <w:pPr>
        <w:spacing w:line="360" w:lineRule="auto"/>
        <w:jc w:val="both"/>
        <w:rPr>
          <w:rFonts w:ascii="Arial" w:eastAsia="Arial" w:hAnsi="Arial" w:cs="Arial"/>
          <w:color w:val="FF0000"/>
        </w:rPr>
      </w:pPr>
      <w:r>
        <w:rPr>
          <w:rFonts w:ascii="Arial" w:eastAsia="Arial" w:hAnsi="Arial" w:cs="Arial"/>
          <w:b/>
          <w:bCs/>
          <w:color w:val="FF0000"/>
        </w:rPr>
        <w:t>OBSERVAÇÃO</w:t>
      </w:r>
      <w:r>
        <w:rPr>
          <w:rFonts w:ascii="Arial" w:eastAsia="Arial" w:hAnsi="Arial" w:cs="Arial"/>
          <w:color w:val="FF0000"/>
        </w:rPr>
        <w:t>: Suprimir esta cláusula, renumerando-se as seguintes, se o Termo Aditivo não contemplar a renovação dos quantitativos.</w:t>
      </w:r>
    </w:p>
    <w:p w14:paraId="7BA95C43" w14:textId="77777777" w:rsidR="00733EE6" w:rsidRDefault="00733EE6">
      <w:pPr>
        <w:spacing w:line="360" w:lineRule="auto"/>
        <w:jc w:val="both"/>
        <w:rPr>
          <w:rFonts w:ascii="Arial" w:eastAsia="Arial" w:hAnsi="Arial" w:cs="Arial"/>
          <w:b/>
          <w:bCs/>
          <w:color w:val="000000"/>
        </w:rPr>
      </w:pPr>
    </w:p>
    <w:p w14:paraId="2B456BAE" w14:textId="77777777" w:rsidR="00733EE6" w:rsidRDefault="00000000">
      <w:pPr>
        <w:spacing w:line="360" w:lineRule="auto"/>
        <w:jc w:val="both"/>
        <w:rPr>
          <w:rFonts w:ascii="Arial" w:eastAsia="Arial" w:hAnsi="Arial" w:cs="Arial"/>
          <w:b/>
          <w:bCs/>
          <w:color w:val="000000"/>
        </w:rPr>
      </w:pPr>
      <w:r>
        <w:rPr>
          <w:rFonts w:ascii="Arial" w:eastAsia="Arial" w:hAnsi="Arial" w:cs="Arial"/>
          <w:b/>
          <w:bCs/>
        </w:rPr>
        <w:t xml:space="preserve">CLÁUSULA QUINTA </w:t>
      </w:r>
      <w:r>
        <w:rPr>
          <w:rFonts w:ascii="Arial" w:eastAsia="Arial" w:hAnsi="Arial" w:cs="Arial"/>
          <w:b/>
          <w:bCs/>
          <w:color w:val="000000"/>
        </w:rPr>
        <w:t>– DA RATIFICAÇÃO DAS DEMAIS DISPOSIÇÕES</w:t>
      </w:r>
    </w:p>
    <w:p w14:paraId="2140B712" w14:textId="77777777" w:rsidR="00733EE6" w:rsidRDefault="00000000">
      <w:pPr>
        <w:spacing w:line="360" w:lineRule="auto"/>
        <w:jc w:val="both"/>
        <w:rPr>
          <w:rFonts w:ascii="Arial" w:eastAsia="Arial" w:hAnsi="Arial" w:cs="Arial"/>
          <w:color w:val="000000"/>
        </w:rPr>
      </w:pPr>
      <w:r>
        <w:rPr>
          <w:rFonts w:ascii="Arial" w:eastAsia="Arial" w:hAnsi="Arial" w:cs="Arial"/>
          <w:b/>
          <w:bCs/>
          <w:color w:val="000000"/>
        </w:rPr>
        <w:t xml:space="preserve">5.1. </w:t>
      </w:r>
      <w:r>
        <w:rPr>
          <w:rFonts w:ascii="Arial" w:eastAsia="Arial" w:hAnsi="Arial" w:cs="Arial"/>
          <w:color w:val="000000"/>
        </w:rPr>
        <w:t>Ficam inalteradas as demais disposições da Ata de Registro de Preços que não foram pelo presente Termo Aditivo expressamente alteradas.</w:t>
      </w:r>
    </w:p>
    <w:p w14:paraId="4ABC049B" w14:textId="77777777" w:rsidR="00733EE6" w:rsidRDefault="00733EE6">
      <w:pPr>
        <w:widowControl w:val="0"/>
        <w:spacing w:line="360" w:lineRule="auto"/>
        <w:jc w:val="both"/>
        <w:rPr>
          <w:rFonts w:ascii="Arial" w:eastAsia="Arial" w:hAnsi="Arial" w:cs="Arial"/>
          <w:b/>
          <w:bCs/>
        </w:rPr>
      </w:pPr>
    </w:p>
    <w:p w14:paraId="2A098AB2" w14:textId="77777777" w:rsidR="00733EE6" w:rsidRDefault="00000000">
      <w:pPr>
        <w:widowControl w:val="0"/>
        <w:spacing w:line="360" w:lineRule="auto"/>
        <w:jc w:val="both"/>
        <w:rPr>
          <w:rFonts w:ascii="Arial" w:eastAsia="Arial" w:hAnsi="Arial" w:cs="Arial"/>
          <w:b/>
          <w:bCs/>
        </w:rPr>
      </w:pPr>
      <w:r>
        <w:rPr>
          <w:rFonts w:ascii="Arial" w:eastAsia="Arial" w:hAnsi="Arial" w:cs="Arial"/>
          <w:b/>
          <w:bCs/>
        </w:rPr>
        <w:t>CLÁUSULA SEXTA – DA PUBLICIDADE</w:t>
      </w:r>
    </w:p>
    <w:p w14:paraId="4B1AA714" w14:textId="77777777" w:rsidR="00733EE6" w:rsidRDefault="00000000">
      <w:pPr>
        <w:widowControl w:val="0"/>
        <w:spacing w:line="360" w:lineRule="auto"/>
        <w:jc w:val="both"/>
        <w:rPr>
          <w:rFonts w:ascii="Arial" w:eastAsia="Arial" w:hAnsi="Arial" w:cs="Arial"/>
        </w:rPr>
      </w:pPr>
      <w:r>
        <w:rPr>
          <w:rFonts w:ascii="Arial" w:eastAsia="Arial" w:hAnsi="Arial" w:cs="Arial"/>
          <w:b/>
          <w:bCs/>
        </w:rPr>
        <w:t>6.1.</w:t>
      </w:r>
      <w:r>
        <w:rPr>
          <w:rFonts w:ascii="Arial" w:eastAsia="Arial" w:hAnsi="Arial" w:cs="Arial"/>
        </w:rPr>
        <w:t xml:space="preserve"> O presente Termo Aditivo será publicado no Portal Nacional de Contratações Públicas (PNCP) como condição de sua eficácia, nos termos dos artigos 94 e 174, I e § 2º, IV, da Lei 14.133/2021.</w:t>
      </w:r>
    </w:p>
    <w:p w14:paraId="588890FE" w14:textId="77777777" w:rsidR="00733EE6" w:rsidRDefault="00000000">
      <w:pPr>
        <w:widowControl w:val="0"/>
        <w:spacing w:line="360" w:lineRule="auto"/>
        <w:jc w:val="both"/>
        <w:rPr>
          <w:rFonts w:ascii="Arial" w:eastAsia="Arial" w:hAnsi="Arial" w:cs="Arial"/>
        </w:rPr>
      </w:pPr>
      <w:r>
        <w:rPr>
          <w:rFonts w:ascii="Arial" w:eastAsia="Arial" w:hAnsi="Arial" w:cs="Arial"/>
          <w:b/>
          <w:bCs/>
        </w:rPr>
        <w:lastRenderedPageBreak/>
        <w:t>6.2.</w:t>
      </w:r>
      <w:r>
        <w:rPr>
          <w:rFonts w:ascii="Arial" w:eastAsia="Arial" w:hAnsi="Arial" w:cs="Arial"/>
        </w:rPr>
        <w:t xml:space="preserve"> Sem prejuízo da obrigatoriedade da divulgação no PNCP, o CONTRATANTE providenciará a publicação do extrato deste instrumento no Boletim Oficial do Município, garantindo amplo acesso à informação por parte dos cidadãos e dos órgãos de controle locais.</w:t>
      </w:r>
    </w:p>
    <w:p w14:paraId="0A2F3B3D" w14:textId="77777777" w:rsidR="00733EE6" w:rsidRDefault="00733EE6">
      <w:pPr>
        <w:widowControl w:val="0"/>
        <w:spacing w:line="360" w:lineRule="auto"/>
        <w:jc w:val="both"/>
        <w:rPr>
          <w:rFonts w:ascii="Arial" w:eastAsia="Arial" w:hAnsi="Arial" w:cs="Arial"/>
        </w:rPr>
      </w:pPr>
    </w:p>
    <w:p w14:paraId="51005A44" w14:textId="77777777" w:rsidR="00733EE6" w:rsidRDefault="00000000">
      <w:pPr>
        <w:spacing w:line="360" w:lineRule="auto"/>
        <w:jc w:val="both"/>
        <w:rPr>
          <w:rFonts w:ascii="Arial" w:eastAsia="Arial" w:hAnsi="Arial" w:cs="Arial"/>
          <w:color w:val="000000"/>
        </w:rPr>
      </w:pPr>
      <w:r>
        <w:rPr>
          <w:rFonts w:ascii="Arial" w:eastAsia="Arial" w:hAnsi="Arial" w:cs="Arial"/>
        </w:rPr>
        <w:t>E, para firmeza e como prova de assim haverem entre si ajustado, foi lavrado o presente instrumento em duas vias de igual teor e forma, o qual, depois de lido e achado conforme, vai assinado pelas partes.</w:t>
      </w:r>
    </w:p>
    <w:p w14:paraId="1593CB02" w14:textId="77777777" w:rsidR="00733EE6" w:rsidRDefault="00733EE6">
      <w:pPr>
        <w:spacing w:line="360" w:lineRule="auto"/>
        <w:jc w:val="both"/>
        <w:rPr>
          <w:rFonts w:ascii="Arial" w:eastAsia="Arial" w:hAnsi="Arial" w:cs="Arial"/>
          <w:color w:val="000000"/>
        </w:rPr>
      </w:pPr>
    </w:p>
    <w:p w14:paraId="61DFB935" w14:textId="77777777" w:rsidR="00733EE6" w:rsidRDefault="00000000">
      <w:pPr>
        <w:spacing w:line="360" w:lineRule="auto"/>
        <w:jc w:val="both"/>
        <w:rPr>
          <w:rFonts w:ascii="Arial" w:eastAsia="Arial" w:hAnsi="Arial" w:cs="Arial"/>
          <w:color w:val="000000"/>
        </w:rPr>
      </w:pPr>
      <w:r>
        <w:rPr>
          <w:rFonts w:ascii="Arial" w:eastAsia="Arial" w:hAnsi="Arial" w:cs="Arial"/>
          <w:color w:val="000000"/>
        </w:rPr>
        <w:t xml:space="preserve">Ferraz de Vasconcelos/SP, _______ de _______________________ </w:t>
      </w:r>
      <w:proofErr w:type="spellStart"/>
      <w:r>
        <w:rPr>
          <w:rFonts w:ascii="Arial" w:eastAsia="Arial" w:hAnsi="Arial" w:cs="Arial"/>
          <w:color w:val="000000"/>
        </w:rPr>
        <w:t>de</w:t>
      </w:r>
      <w:proofErr w:type="spellEnd"/>
      <w:r>
        <w:rPr>
          <w:rFonts w:ascii="Arial" w:eastAsia="Arial" w:hAnsi="Arial" w:cs="Arial"/>
          <w:color w:val="000000"/>
        </w:rPr>
        <w:t xml:space="preserve"> 20</w:t>
      </w:r>
      <w:r>
        <w:rPr>
          <w:rFonts w:ascii="Arial" w:eastAsia="Arial" w:hAnsi="Arial" w:cs="Arial"/>
          <w:b/>
          <w:bCs/>
          <w:color w:val="4472C4"/>
        </w:rPr>
        <w:t>XX</w:t>
      </w:r>
      <w:r>
        <w:rPr>
          <w:rFonts w:ascii="Arial" w:eastAsia="Arial" w:hAnsi="Arial" w:cs="Arial"/>
          <w:color w:val="000000"/>
        </w:rPr>
        <w:t>.</w:t>
      </w:r>
    </w:p>
    <w:p w14:paraId="5ED109E8" w14:textId="77777777" w:rsidR="00733EE6" w:rsidRDefault="00733EE6">
      <w:pPr>
        <w:spacing w:line="360" w:lineRule="auto"/>
        <w:jc w:val="both"/>
        <w:rPr>
          <w:rFonts w:ascii="Arial" w:eastAsia="Arial" w:hAnsi="Arial" w:cs="Arial"/>
          <w:color w:val="000000"/>
        </w:rPr>
      </w:pPr>
    </w:p>
    <w:p w14:paraId="1475F974" w14:textId="77777777" w:rsidR="00733EE6" w:rsidRDefault="00733EE6">
      <w:pPr>
        <w:spacing w:line="360" w:lineRule="auto"/>
        <w:jc w:val="both"/>
        <w:rPr>
          <w:rFonts w:ascii="Arial" w:eastAsia="Arial" w:hAnsi="Arial" w:cs="Arial"/>
          <w:color w:val="000000"/>
        </w:rPr>
      </w:pPr>
    </w:p>
    <w:p w14:paraId="0CEF8766" w14:textId="77777777" w:rsidR="00733EE6" w:rsidRDefault="00000000">
      <w:pPr>
        <w:spacing w:line="360" w:lineRule="auto"/>
        <w:jc w:val="both"/>
        <w:rPr>
          <w:rFonts w:ascii="Arial" w:eastAsia="Arial" w:hAnsi="Arial" w:cs="Arial"/>
          <w:color w:val="000000"/>
        </w:rPr>
      </w:pPr>
      <w:r>
        <w:rPr>
          <w:rFonts w:ascii="Arial" w:eastAsia="Arial" w:hAnsi="Arial" w:cs="Arial"/>
          <w:color w:val="000000"/>
        </w:rPr>
        <w:t>______________________________________________</w:t>
      </w:r>
    </w:p>
    <w:p w14:paraId="5C2A06A1" w14:textId="77777777" w:rsidR="00733EE6" w:rsidRDefault="00000000">
      <w:pPr>
        <w:spacing w:line="360" w:lineRule="auto"/>
        <w:jc w:val="both"/>
        <w:rPr>
          <w:rFonts w:ascii="Arial" w:eastAsia="Arial" w:hAnsi="Arial" w:cs="Arial"/>
          <w:b/>
          <w:bCs/>
          <w:color w:val="000000"/>
        </w:rPr>
      </w:pPr>
      <w:r>
        <w:rPr>
          <w:rFonts w:ascii="Arial" w:eastAsia="Arial" w:hAnsi="Arial" w:cs="Arial"/>
          <w:b/>
          <w:bCs/>
          <w:color w:val="000000"/>
        </w:rPr>
        <w:t xml:space="preserve">SECRETARIA </w:t>
      </w:r>
      <w:r>
        <w:rPr>
          <w:rFonts w:ascii="Arial" w:eastAsia="Arial" w:hAnsi="Arial" w:cs="Arial"/>
          <w:b/>
          <w:bCs/>
          <w:color w:val="4472C4"/>
        </w:rPr>
        <w:t>XXXX</w:t>
      </w:r>
    </w:p>
    <w:p w14:paraId="534D3FA1" w14:textId="77777777" w:rsidR="00733EE6" w:rsidRDefault="00000000">
      <w:pPr>
        <w:spacing w:line="360" w:lineRule="auto"/>
        <w:jc w:val="both"/>
        <w:rPr>
          <w:rFonts w:ascii="Arial" w:eastAsia="Arial" w:hAnsi="Arial" w:cs="Arial"/>
          <w:color w:val="000000"/>
        </w:rPr>
      </w:pPr>
      <w:r>
        <w:rPr>
          <w:rFonts w:ascii="Arial" w:eastAsia="Arial" w:hAnsi="Arial" w:cs="Arial"/>
          <w:color w:val="000000"/>
        </w:rPr>
        <w:t>CONTRATANTE</w:t>
      </w:r>
    </w:p>
    <w:p w14:paraId="558EE7F7" w14:textId="77777777" w:rsidR="00733EE6" w:rsidRDefault="00733EE6">
      <w:pPr>
        <w:spacing w:line="360" w:lineRule="auto"/>
        <w:jc w:val="both"/>
        <w:rPr>
          <w:rFonts w:ascii="Arial" w:eastAsia="Arial" w:hAnsi="Arial" w:cs="Arial"/>
          <w:color w:val="000000"/>
        </w:rPr>
      </w:pPr>
    </w:p>
    <w:p w14:paraId="6665DED2" w14:textId="77777777" w:rsidR="00733EE6" w:rsidRDefault="00733EE6">
      <w:pPr>
        <w:spacing w:line="360" w:lineRule="auto"/>
        <w:jc w:val="both"/>
        <w:rPr>
          <w:rFonts w:ascii="Arial" w:eastAsia="Arial" w:hAnsi="Arial" w:cs="Arial"/>
          <w:color w:val="000000"/>
        </w:rPr>
      </w:pPr>
    </w:p>
    <w:p w14:paraId="6D22144C" w14:textId="77777777" w:rsidR="00733EE6" w:rsidRDefault="00000000">
      <w:pPr>
        <w:spacing w:line="360" w:lineRule="auto"/>
        <w:jc w:val="both"/>
        <w:rPr>
          <w:rFonts w:ascii="Arial" w:eastAsia="Arial" w:hAnsi="Arial" w:cs="Arial"/>
          <w:color w:val="000000"/>
        </w:rPr>
      </w:pPr>
      <w:r>
        <w:rPr>
          <w:rFonts w:ascii="Arial" w:eastAsia="Arial" w:hAnsi="Arial" w:cs="Arial"/>
          <w:color w:val="000000"/>
        </w:rPr>
        <w:t>_______________________________________________</w:t>
      </w:r>
    </w:p>
    <w:p w14:paraId="4F71AB08" w14:textId="77777777" w:rsidR="00733EE6" w:rsidRDefault="00000000">
      <w:pPr>
        <w:spacing w:line="360" w:lineRule="auto"/>
        <w:jc w:val="both"/>
        <w:rPr>
          <w:rFonts w:ascii="Arial" w:eastAsia="Arial" w:hAnsi="Arial" w:cs="Arial"/>
          <w:b/>
          <w:bCs/>
          <w:color w:val="4472C4"/>
        </w:rPr>
      </w:pPr>
      <w:r>
        <w:rPr>
          <w:rFonts w:ascii="Arial" w:eastAsia="Arial" w:hAnsi="Arial" w:cs="Arial"/>
          <w:b/>
          <w:bCs/>
          <w:color w:val="4472C4"/>
        </w:rPr>
        <w:t>XXXX</w:t>
      </w:r>
    </w:p>
    <w:p w14:paraId="56BB42D2" w14:textId="77777777" w:rsidR="00733EE6" w:rsidRDefault="00000000">
      <w:pPr>
        <w:spacing w:line="360" w:lineRule="auto"/>
        <w:jc w:val="both"/>
        <w:rPr>
          <w:rFonts w:ascii="Arial" w:eastAsia="Arial" w:hAnsi="Arial" w:cs="Arial"/>
          <w:color w:val="000000"/>
        </w:rPr>
      </w:pPr>
      <w:r>
        <w:rPr>
          <w:rFonts w:ascii="Arial" w:eastAsia="Arial" w:hAnsi="Arial" w:cs="Arial"/>
          <w:color w:val="000000"/>
        </w:rPr>
        <w:t>DETENTORA DA ATA</w:t>
      </w:r>
    </w:p>
    <w:p w14:paraId="68FF6839" w14:textId="77777777" w:rsidR="00733EE6" w:rsidRDefault="00733EE6">
      <w:pPr>
        <w:spacing w:line="360" w:lineRule="auto"/>
        <w:jc w:val="both"/>
        <w:rPr>
          <w:rFonts w:ascii="Arial" w:eastAsia="Arial" w:hAnsi="Arial" w:cs="Arial"/>
        </w:rPr>
      </w:pPr>
    </w:p>
    <w:p w14:paraId="294E4F2A" w14:textId="77777777" w:rsidR="00733EE6" w:rsidRDefault="00733EE6">
      <w:pPr>
        <w:pBdr>
          <w:top w:val="nil"/>
          <w:left w:val="nil"/>
          <w:bottom w:val="nil"/>
          <w:right w:val="nil"/>
          <w:between w:val="nil"/>
        </w:pBdr>
        <w:tabs>
          <w:tab w:val="left" w:pos="284"/>
        </w:tabs>
        <w:spacing w:line="360" w:lineRule="auto"/>
        <w:jc w:val="both"/>
        <w:rPr>
          <w:rFonts w:ascii="Arial" w:eastAsia="Arial" w:hAnsi="Arial" w:cs="Arial"/>
          <w:color w:val="000000"/>
        </w:rPr>
      </w:pPr>
    </w:p>
    <w:p w14:paraId="3C3FCCC9" w14:textId="77777777" w:rsidR="00733EE6" w:rsidRDefault="00000000">
      <w:pPr>
        <w:spacing w:line="360" w:lineRule="auto"/>
        <w:rPr>
          <w:rFonts w:ascii="Arial" w:eastAsia="Arial" w:hAnsi="Arial" w:cs="Arial"/>
        </w:rPr>
      </w:pPr>
      <w:r>
        <w:rPr>
          <w:rFonts w:ascii="Arial" w:eastAsia="Arial" w:hAnsi="Arial" w:cs="Arial"/>
        </w:rPr>
        <w:t>TESTEMUNHAS:</w:t>
      </w:r>
    </w:p>
    <w:p w14:paraId="769FFC47" w14:textId="77777777" w:rsidR="00733EE6" w:rsidRDefault="00000000">
      <w:pPr>
        <w:spacing w:line="360" w:lineRule="auto"/>
        <w:rPr>
          <w:rFonts w:ascii="Arial" w:eastAsia="Arial" w:hAnsi="Arial" w:cs="Arial"/>
        </w:rPr>
      </w:pPr>
      <w:r>
        <w:rPr>
          <w:rFonts w:ascii="Arial" w:eastAsia="Arial" w:hAnsi="Arial" w:cs="Arial"/>
        </w:rPr>
        <w:t>1 -</w:t>
      </w:r>
    </w:p>
    <w:p w14:paraId="729E3803" w14:textId="77777777" w:rsidR="00733EE6" w:rsidRDefault="00000000">
      <w:pPr>
        <w:spacing w:line="360" w:lineRule="auto"/>
        <w:rPr>
          <w:rFonts w:ascii="Arial" w:eastAsia="Arial" w:hAnsi="Arial" w:cs="Arial"/>
        </w:rPr>
      </w:pPr>
      <w:r>
        <w:rPr>
          <w:rFonts w:ascii="Arial" w:eastAsia="Arial" w:hAnsi="Arial" w:cs="Arial"/>
        </w:rPr>
        <w:t>2 -</w:t>
      </w:r>
    </w:p>
    <w:p w14:paraId="3AD7AD9F" w14:textId="77777777" w:rsidR="00733EE6" w:rsidRDefault="00733EE6">
      <w:pPr>
        <w:spacing w:line="360" w:lineRule="auto"/>
        <w:rPr>
          <w:rFonts w:ascii="Arial" w:eastAsia="Arial" w:hAnsi="Arial" w:cs="Arial"/>
        </w:rPr>
      </w:pPr>
    </w:p>
    <w:p w14:paraId="7F2C8134" w14:textId="77777777" w:rsidR="00733EE6" w:rsidRDefault="00000000">
      <w:pPr>
        <w:spacing w:line="360" w:lineRule="auto"/>
        <w:jc w:val="both"/>
        <w:rPr>
          <w:rFonts w:ascii="Arial" w:eastAsia="Arial" w:hAnsi="Arial" w:cs="Arial"/>
          <w:color w:val="EE0000"/>
        </w:rPr>
      </w:pPr>
      <w:r>
        <w:rPr>
          <w:rFonts w:ascii="Arial" w:eastAsia="Arial" w:hAnsi="Arial" w:cs="Arial"/>
          <w:b/>
          <w:bCs/>
          <w:color w:val="EE0000"/>
        </w:rPr>
        <w:t>OBSERVAÇÃO</w:t>
      </w:r>
      <w:r>
        <w:rPr>
          <w:rFonts w:ascii="Arial" w:eastAsia="Arial" w:hAnsi="Arial" w:cs="Arial"/>
          <w:color w:val="EE0000"/>
        </w:rPr>
        <w:t>: É recomendável que, além da assinatura dos responsáveis legais das partes, conste a de duas testemunhas para atender o disposto no art. 784, III, do Código de Processo Civil, que considera título executivo extrajudicial o documento particular assinado por duas testemunhas, caso não haja prejuízo à dinâmica administrativa do instrumento. Trata-se de cautela que visa evitar eventual discussão judicial e tornar mais eficiente eventual cobrança necessária no caso concreto. Vide: Nota n. 00013/2021/DECOR/CGU/AGU e respectivos Despachos de Aprovação – NUP 23282.002192/2019-93.</w:t>
      </w:r>
    </w:p>
    <w:sectPr w:rsidR="00733EE6">
      <w:headerReference w:type="default" r:id="rId8"/>
      <w:footerReference w:type="default" r:id="rId9"/>
      <w:pgSz w:w="11906" w:h="16838"/>
      <w:pgMar w:top="1559" w:right="1418" w:bottom="1247" w:left="141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7BCE8B" w14:textId="77777777" w:rsidR="006F6B4F" w:rsidRDefault="006F6B4F">
      <w:r>
        <w:separator/>
      </w:r>
    </w:p>
  </w:endnote>
  <w:endnote w:type="continuationSeparator" w:id="0">
    <w:p w14:paraId="1C0DB01A" w14:textId="77777777" w:rsidR="006F6B4F" w:rsidRDefault="006F6B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CCCBDF53-C060-452A-8F3C-F6CE770448EE}"/>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embedRegular r:id="rId2" w:fontKey="{183FF638-2828-4F6F-A85F-DEDB113F66F0}"/>
  </w:font>
  <w:font w:name="Georgia">
    <w:panose1 w:val="02040502050405020303"/>
    <w:charset w:val="00"/>
    <w:family w:val="roman"/>
    <w:pitch w:val="variable"/>
    <w:sig w:usb0="00000287" w:usb1="00000000" w:usb2="00000000" w:usb3="00000000" w:csb0="0000009F" w:csb1="00000000"/>
    <w:embedItalic r:id="rId3" w:fontKey="{B34B6C47-A1EF-4066-8F6C-4B8A85197648}"/>
  </w:font>
  <w:font w:name="Neo Sans Std">
    <w:altName w:val="Cambria"/>
    <w:panose1 w:val="00000000000000000000"/>
    <w:charset w:val="00"/>
    <w:family w:val="roman"/>
    <w:notTrueType/>
    <w:pitch w:val="default"/>
  </w:font>
  <w:font w:name="Bookman Old Style">
    <w:panose1 w:val="02050604050505020204"/>
    <w:charset w:val="00"/>
    <w:family w:val="roman"/>
    <w:pitch w:val="variable"/>
    <w:sig w:usb0="00000287" w:usb1="00000000" w:usb2="00000000" w:usb3="00000000" w:csb0="0000009F" w:csb1="00000000"/>
    <w:embedRegular r:id="rId4" w:fontKey="{B737B67A-137C-4901-A79D-222121D5A23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F576E" w14:textId="77777777" w:rsidR="00733EE6" w:rsidRDefault="00000000">
    <w:pPr>
      <w:pBdr>
        <w:top w:val="nil"/>
        <w:left w:val="nil"/>
        <w:bottom w:val="nil"/>
        <w:right w:val="nil"/>
        <w:between w:val="nil"/>
      </w:pBdr>
      <w:tabs>
        <w:tab w:val="center" w:pos="4419"/>
        <w:tab w:val="right" w:pos="8838"/>
      </w:tabs>
      <w:ind w:right="360"/>
      <w:jc w:val="center"/>
      <w:rPr>
        <w:rFonts w:ascii="Bookman Old Style" w:eastAsia="Bookman Old Style" w:hAnsi="Bookman Old Style" w:cs="Bookman Old Style"/>
        <w:color w:val="000000"/>
        <w:sz w:val="18"/>
        <w:szCs w:val="18"/>
      </w:rPr>
    </w:pPr>
    <w:r>
      <w:rPr>
        <w:noProof/>
      </w:rPr>
      <mc:AlternateContent>
        <mc:Choice Requires="wpg">
          <w:drawing>
            <wp:anchor distT="0" distB="0" distL="0" distR="0" simplePos="0" relativeHeight="251659264" behindDoc="0" locked="0" layoutInCell="1" hidden="0" allowOverlap="1" wp14:anchorId="5EAF34EF" wp14:editId="028E9722">
              <wp:simplePos x="0" y="0"/>
              <wp:positionH relativeFrom="column">
                <wp:posOffset>5677853</wp:posOffset>
              </wp:positionH>
              <wp:positionV relativeFrom="paragraph">
                <wp:posOffset>-4126</wp:posOffset>
              </wp:positionV>
              <wp:extent cx="77470" cy="175895"/>
              <wp:effectExtent l="0" t="0" r="0" b="0"/>
              <wp:wrapSquare wrapText="bothSides" distT="0" distB="0" distL="0" distR="0"/>
              <wp:docPr id="1389517220" name="Retângulo 1389517220"/>
              <wp:cNvGraphicFramePr/>
              <a:graphic xmlns:a="http://schemas.openxmlformats.org/drawingml/2006/main">
                <a:graphicData uri="http://schemas.microsoft.com/office/word/2010/wordprocessingShape">
                  <wps:wsp>
                    <wps:cNvSpPr/>
                    <wps:spPr>
                      <a:xfrm>
                        <a:off x="5312028" y="3696815"/>
                        <a:ext cx="67945" cy="166370"/>
                      </a:xfrm>
                      <a:prstGeom prst="rect">
                        <a:avLst/>
                      </a:prstGeom>
                      <a:solidFill>
                        <a:srgbClr val="FFFFFF"/>
                      </a:solidFill>
                      <a:ln>
                        <a:noFill/>
                      </a:ln>
                    </wps:spPr>
                    <wps:txbx>
                      <w:txbxContent>
                        <w:p w14:paraId="7D65EC43" w14:textId="77777777" w:rsidR="00733EE6" w:rsidRDefault="00000000">
                          <w:pPr>
                            <w:textDirection w:val="btLr"/>
                          </w:pPr>
                          <w:r>
                            <w:rPr>
                              <w:rFonts w:ascii="Arial" w:eastAsia="Arial" w:hAnsi="Arial" w:cs="Arial"/>
                              <w:color w:val="000000"/>
                            </w:rPr>
                            <w:t xml:space="preserve"> PAGE 2</w:t>
                          </w:r>
                        </w:p>
                      </w:txbxContent>
                    </wps:txbx>
                    <wps:bodyPr spcFirstLastPara="1" wrap="square" lIns="0" tIns="0" rIns="0" bIns="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5677853</wp:posOffset>
              </wp:positionH>
              <wp:positionV relativeFrom="paragraph">
                <wp:posOffset>-4126</wp:posOffset>
              </wp:positionV>
              <wp:extent cx="77470" cy="175895"/>
              <wp:effectExtent b="0" l="0" r="0" t="0"/>
              <wp:wrapSquare wrapText="bothSides" distB="0" distT="0" distL="0" distR="0"/>
              <wp:docPr id="1389517220" name="image1.png"/>
              <a:graphic>
                <a:graphicData uri="http://schemas.openxmlformats.org/drawingml/2006/picture">
                  <pic:pic>
                    <pic:nvPicPr>
                      <pic:cNvPr id="0" name="image1.png"/>
                      <pic:cNvPicPr preferRelativeResize="0"/>
                    </pic:nvPicPr>
                    <pic:blipFill>
                      <a:blip r:embed="rId1"/>
                      <a:srcRect/>
                      <a:stretch>
                        <a:fillRect/>
                      </a:stretch>
                    </pic:blipFill>
                    <pic:spPr>
                      <a:xfrm>
                        <a:off x="0" y="0"/>
                        <a:ext cx="77470" cy="175895"/>
                      </a:xfrm>
                      <a:prstGeom prst="rect"/>
                      <a:ln/>
                    </pic:spPr>
                  </pic:pic>
                </a:graphicData>
              </a:graphic>
            </wp:anchor>
          </w:drawing>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EC67D8" w14:textId="77777777" w:rsidR="006F6B4F" w:rsidRDefault="006F6B4F">
      <w:r>
        <w:separator/>
      </w:r>
    </w:p>
  </w:footnote>
  <w:footnote w:type="continuationSeparator" w:id="0">
    <w:p w14:paraId="5767E578" w14:textId="77777777" w:rsidR="006F6B4F" w:rsidRDefault="006F6B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18025" w14:textId="77777777" w:rsidR="00733EE6" w:rsidRDefault="00000000">
    <w:pPr>
      <w:pBdr>
        <w:top w:val="nil"/>
        <w:left w:val="nil"/>
        <w:bottom w:val="nil"/>
        <w:right w:val="nil"/>
        <w:between w:val="nil"/>
      </w:pBdr>
      <w:tabs>
        <w:tab w:val="center" w:pos="4419"/>
        <w:tab w:val="right" w:pos="8838"/>
      </w:tabs>
      <w:rPr>
        <w:color w:val="000000"/>
      </w:rPr>
    </w:pPr>
    <w:bookmarkStart w:id="0" w:name="_heading=h.30j0zll" w:colFirst="0" w:colLast="0"/>
    <w:bookmarkEnd w:id="0"/>
    <w:r>
      <w:t>  </w:t>
    </w:r>
    <w:r>
      <w:rPr>
        <w:noProof/>
      </w:rPr>
      <mc:AlternateContent>
        <mc:Choice Requires="wpg">
          <w:drawing>
            <wp:anchor distT="0" distB="0" distL="114300" distR="114300" simplePos="0" relativeHeight="251658240" behindDoc="0" locked="0" layoutInCell="1" hidden="0" allowOverlap="1" wp14:anchorId="05055ADF" wp14:editId="397BD535">
              <wp:simplePos x="0" y="0"/>
              <wp:positionH relativeFrom="column">
                <wp:posOffset>-678430</wp:posOffset>
              </wp:positionH>
              <wp:positionV relativeFrom="paragraph">
                <wp:posOffset>-346202</wp:posOffset>
              </wp:positionV>
              <wp:extent cx="6939926" cy="697692"/>
              <wp:effectExtent l="0" t="0" r="0" b="0"/>
              <wp:wrapNone/>
              <wp:docPr id="1389517221" name="Agrupar 1389517221"/>
              <wp:cNvGraphicFramePr/>
              <a:graphic xmlns:a="http://schemas.openxmlformats.org/drawingml/2006/main">
                <a:graphicData uri="http://schemas.microsoft.com/office/word/2010/wordprocessingGroup">
                  <wpg:wgp>
                    <wpg:cNvGrpSpPr/>
                    <wpg:grpSpPr>
                      <a:xfrm>
                        <a:off x="0" y="0"/>
                        <a:ext cx="6939926" cy="697692"/>
                        <a:chOff x="1876025" y="3431150"/>
                        <a:chExt cx="6939950" cy="697700"/>
                      </a:xfrm>
                    </wpg:grpSpPr>
                    <wpg:grpSp>
                      <wpg:cNvPr id="1000983143" name="Agrupar 1000983143"/>
                      <wpg:cNvGrpSpPr/>
                      <wpg:grpSpPr>
                        <a:xfrm>
                          <a:off x="1876037" y="3431154"/>
                          <a:ext cx="6939926" cy="697692"/>
                          <a:chOff x="1732013" y="3293935"/>
                          <a:chExt cx="7206182" cy="824205"/>
                        </a:xfrm>
                      </wpg:grpSpPr>
                      <wps:wsp>
                        <wps:cNvPr id="1187111632" name="Retângulo 1187111632"/>
                        <wps:cNvSpPr/>
                        <wps:spPr>
                          <a:xfrm>
                            <a:off x="1732013" y="3293935"/>
                            <a:ext cx="7206175" cy="824200"/>
                          </a:xfrm>
                          <a:prstGeom prst="rect">
                            <a:avLst/>
                          </a:prstGeom>
                          <a:noFill/>
                          <a:ln>
                            <a:noFill/>
                          </a:ln>
                        </wps:spPr>
                        <wps:txbx>
                          <w:txbxContent>
                            <w:p w14:paraId="3348B2D1" w14:textId="77777777" w:rsidR="00733EE6" w:rsidRDefault="00733EE6">
                              <w:pPr>
                                <w:textDirection w:val="btLr"/>
                              </w:pPr>
                            </w:p>
                          </w:txbxContent>
                        </wps:txbx>
                        <wps:bodyPr spcFirstLastPara="1" wrap="square" lIns="91425" tIns="91425" rIns="91425" bIns="91425" anchor="ctr" anchorCtr="0">
                          <a:noAutofit/>
                        </wps:bodyPr>
                      </wps:wsp>
                      <wpg:grpSp>
                        <wpg:cNvPr id="306374911" name="Agrupar 306374911"/>
                        <wpg:cNvGrpSpPr/>
                        <wpg:grpSpPr>
                          <a:xfrm>
                            <a:off x="1732013" y="3293935"/>
                            <a:ext cx="7206182" cy="824205"/>
                            <a:chOff x="1732008" y="3293915"/>
                            <a:chExt cx="7206192" cy="824235"/>
                          </a:xfrm>
                        </wpg:grpSpPr>
                        <wps:wsp>
                          <wps:cNvPr id="1292766825" name="Retângulo 1292766825"/>
                          <wps:cNvSpPr/>
                          <wps:spPr>
                            <a:xfrm>
                              <a:off x="1753800" y="3441850"/>
                              <a:ext cx="7184400" cy="676300"/>
                            </a:xfrm>
                            <a:prstGeom prst="rect">
                              <a:avLst/>
                            </a:prstGeom>
                            <a:noFill/>
                            <a:ln>
                              <a:noFill/>
                            </a:ln>
                          </wps:spPr>
                          <wps:txbx>
                            <w:txbxContent>
                              <w:p w14:paraId="453852D6" w14:textId="77777777" w:rsidR="00733EE6" w:rsidRDefault="00733EE6">
                                <w:pPr>
                                  <w:textDirection w:val="btLr"/>
                                </w:pPr>
                              </w:p>
                            </w:txbxContent>
                          </wps:txbx>
                          <wps:bodyPr spcFirstLastPara="1" wrap="square" lIns="91425" tIns="91425" rIns="91425" bIns="91425" anchor="ctr" anchorCtr="0">
                            <a:noAutofit/>
                          </wps:bodyPr>
                        </wps:wsp>
                        <wpg:grpSp>
                          <wpg:cNvPr id="1766375102" name="Agrupar 1766375102"/>
                          <wpg:cNvGrpSpPr/>
                          <wpg:grpSpPr>
                            <a:xfrm>
                              <a:off x="1732008" y="3293915"/>
                              <a:ext cx="7206187" cy="824225"/>
                              <a:chOff x="1732003" y="3293895"/>
                              <a:chExt cx="7206197" cy="824255"/>
                            </a:xfrm>
                          </wpg:grpSpPr>
                          <wps:wsp>
                            <wps:cNvPr id="226075000" name="Retângulo 226075000"/>
                            <wps:cNvSpPr/>
                            <wps:spPr>
                              <a:xfrm>
                                <a:off x="1753800" y="3441850"/>
                                <a:ext cx="7184400" cy="676300"/>
                              </a:xfrm>
                              <a:prstGeom prst="rect">
                                <a:avLst/>
                              </a:prstGeom>
                              <a:noFill/>
                              <a:ln>
                                <a:noFill/>
                              </a:ln>
                            </wps:spPr>
                            <wps:txbx>
                              <w:txbxContent>
                                <w:p w14:paraId="413B6540" w14:textId="77777777" w:rsidR="00733EE6" w:rsidRDefault="00733EE6">
                                  <w:pPr>
                                    <w:textDirection w:val="btLr"/>
                                  </w:pPr>
                                </w:p>
                              </w:txbxContent>
                            </wps:txbx>
                            <wps:bodyPr spcFirstLastPara="1" wrap="square" lIns="91425" tIns="91425" rIns="91425" bIns="91425" anchor="ctr" anchorCtr="0">
                              <a:noAutofit/>
                            </wps:bodyPr>
                          </wps:wsp>
                          <wpg:grpSp>
                            <wpg:cNvPr id="851920256" name="Agrupar 851920256"/>
                            <wpg:cNvGrpSpPr/>
                            <wpg:grpSpPr>
                              <a:xfrm>
                                <a:off x="1732003" y="3293895"/>
                                <a:ext cx="7206192" cy="824245"/>
                                <a:chOff x="1731998" y="3293875"/>
                                <a:chExt cx="7206202" cy="824275"/>
                              </a:xfrm>
                            </wpg:grpSpPr>
                            <wps:wsp>
                              <wps:cNvPr id="1598816682" name="Retângulo 1598816682"/>
                              <wps:cNvSpPr/>
                              <wps:spPr>
                                <a:xfrm>
                                  <a:off x="1753800" y="3441850"/>
                                  <a:ext cx="7184400" cy="676300"/>
                                </a:xfrm>
                                <a:prstGeom prst="rect">
                                  <a:avLst/>
                                </a:prstGeom>
                                <a:noFill/>
                                <a:ln>
                                  <a:noFill/>
                                </a:ln>
                              </wps:spPr>
                              <wps:txbx>
                                <w:txbxContent>
                                  <w:p w14:paraId="3175F1F2" w14:textId="77777777" w:rsidR="00733EE6" w:rsidRDefault="00733EE6">
                                    <w:pPr>
                                      <w:textDirection w:val="btLr"/>
                                    </w:pPr>
                                  </w:p>
                                </w:txbxContent>
                              </wps:txbx>
                              <wps:bodyPr spcFirstLastPara="1" wrap="square" lIns="91425" tIns="91425" rIns="91425" bIns="91425" anchor="ctr" anchorCtr="0">
                                <a:noAutofit/>
                              </wps:bodyPr>
                            </wps:wsp>
                            <wpg:grpSp>
                              <wpg:cNvPr id="639286887" name="Agrupar 639286887"/>
                              <wpg:cNvGrpSpPr/>
                              <wpg:grpSpPr>
                                <a:xfrm>
                                  <a:off x="1731998" y="3293875"/>
                                  <a:ext cx="7206197" cy="824265"/>
                                  <a:chOff x="1731993" y="3293855"/>
                                  <a:chExt cx="7206207" cy="824295"/>
                                </a:xfrm>
                              </wpg:grpSpPr>
                              <wps:wsp>
                                <wps:cNvPr id="1818762284" name="Retângulo 1818762284"/>
                                <wps:cNvSpPr/>
                                <wps:spPr>
                                  <a:xfrm>
                                    <a:off x="1753800" y="3441850"/>
                                    <a:ext cx="7184400" cy="676300"/>
                                  </a:xfrm>
                                  <a:prstGeom prst="rect">
                                    <a:avLst/>
                                  </a:prstGeom>
                                  <a:noFill/>
                                  <a:ln>
                                    <a:noFill/>
                                  </a:ln>
                                </wps:spPr>
                                <wps:txbx>
                                  <w:txbxContent>
                                    <w:p w14:paraId="7B249ED2" w14:textId="77777777" w:rsidR="00733EE6" w:rsidRDefault="00733EE6">
                                      <w:pPr>
                                        <w:textDirection w:val="btLr"/>
                                      </w:pPr>
                                    </w:p>
                                  </w:txbxContent>
                                </wps:txbx>
                                <wps:bodyPr spcFirstLastPara="1" wrap="square" lIns="91425" tIns="91425" rIns="91425" bIns="91425" anchor="ctr" anchorCtr="0">
                                  <a:noAutofit/>
                                </wps:bodyPr>
                              </wps:wsp>
                              <wpg:grpSp>
                                <wpg:cNvPr id="612905802" name="Agrupar 612905802"/>
                                <wpg:cNvGrpSpPr/>
                                <wpg:grpSpPr>
                                  <a:xfrm>
                                    <a:off x="1731993" y="3293855"/>
                                    <a:ext cx="7206202" cy="824285"/>
                                    <a:chOff x="1731988" y="3293835"/>
                                    <a:chExt cx="7206212" cy="824315"/>
                                  </a:xfrm>
                                </wpg:grpSpPr>
                                <wps:wsp>
                                  <wps:cNvPr id="37361871" name="Retângulo 37361871"/>
                                  <wps:cNvSpPr/>
                                  <wps:spPr>
                                    <a:xfrm>
                                      <a:off x="1753800" y="3441850"/>
                                      <a:ext cx="7184400" cy="676300"/>
                                    </a:xfrm>
                                    <a:prstGeom prst="rect">
                                      <a:avLst/>
                                    </a:prstGeom>
                                    <a:noFill/>
                                    <a:ln>
                                      <a:noFill/>
                                    </a:ln>
                                  </wps:spPr>
                                  <wps:txbx>
                                    <w:txbxContent>
                                      <w:p w14:paraId="2D2A28C8" w14:textId="77777777" w:rsidR="00733EE6" w:rsidRDefault="00733EE6">
                                        <w:pPr>
                                          <w:textDirection w:val="btLr"/>
                                        </w:pPr>
                                      </w:p>
                                    </w:txbxContent>
                                  </wps:txbx>
                                  <wps:bodyPr spcFirstLastPara="1" wrap="square" lIns="91425" tIns="91425" rIns="91425" bIns="91425" anchor="ctr" anchorCtr="0">
                                    <a:noAutofit/>
                                  </wps:bodyPr>
                                </wps:wsp>
                                <wpg:grpSp>
                                  <wpg:cNvPr id="837604480" name="Agrupar 837604480"/>
                                  <wpg:cNvGrpSpPr/>
                                  <wpg:grpSpPr>
                                    <a:xfrm>
                                      <a:off x="1731988" y="3293835"/>
                                      <a:ext cx="7206207" cy="824303"/>
                                      <a:chOff x="-21817" y="-148028"/>
                                      <a:chExt cx="7206207" cy="824303"/>
                                    </a:xfrm>
                                  </wpg:grpSpPr>
                                  <wps:wsp>
                                    <wps:cNvPr id="290758667" name="Retângulo 290758667"/>
                                    <wps:cNvSpPr/>
                                    <wps:spPr>
                                      <a:xfrm>
                                        <a:off x="-21817" y="-148028"/>
                                        <a:ext cx="7184375" cy="676275"/>
                                      </a:xfrm>
                                      <a:prstGeom prst="rect">
                                        <a:avLst/>
                                      </a:prstGeom>
                                      <a:noFill/>
                                      <a:ln>
                                        <a:noFill/>
                                      </a:ln>
                                    </wps:spPr>
                                    <wps:txbx>
                                      <w:txbxContent>
                                        <w:p w14:paraId="41987607" w14:textId="77777777" w:rsidR="00733EE6" w:rsidRDefault="00733EE6">
                                          <w:pPr>
                                            <w:textDirection w:val="btLr"/>
                                          </w:pPr>
                                        </w:p>
                                      </w:txbxContent>
                                    </wps:txbx>
                                    <wps:bodyPr spcFirstLastPara="1" wrap="square" lIns="91425" tIns="91425" rIns="91425" bIns="91425" anchor="ctr" anchorCtr="0">
                                      <a:noAutofit/>
                                    </wps:bodyPr>
                                  </wps:wsp>
                                  <wpg:grpSp>
                                    <wpg:cNvPr id="2025863320" name="Agrupar 2025863320"/>
                                    <wpg:cNvGrpSpPr/>
                                    <wpg:grpSpPr>
                                      <a:xfrm>
                                        <a:off x="0" y="0"/>
                                        <a:ext cx="5810250" cy="676275"/>
                                        <a:chOff x="0" y="0"/>
                                        <a:chExt cx="5810250" cy="676275"/>
                                      </a:xfrm>
                                    </wpg:grpSpPr>
                                    <wps:wsp>
                                      <wps:cNvPr id="542049197" name="Retângulo 542049197"/>
                                      <wps:cNvSpPr/>
                                      <wps:spPr>
                                        <a:xfrm>
                                          <a:off x="1609725" y="104775"/>
                                          <a:ext cx="4200525" cy="561975"/>
                                        </a:xfrm>
                                        <a:prstGeom prst="rect">
                                          <a:avLst/>
                                        </a:prstGeom>
                                        <a:noFill/>
                                        <a:ln>
                                          <a:noFill/>
                                        </a:ln>
                                      </wps:spPr>
                                      <wps:txbx>
                                        <w:txbxContent>
                                          <w:p w14:paraId="16197811" w14:textId="77777777" w:rsidR="00733EE6" w:rsidRDefault="00000000">
                                            <w:pPr>
                                              <w:jc w:val="center"/>
                                              <w:textDirection w:val="btLr"/>
                                            </w:pPr>
                                            <w:r>
                                              <w:rPr>
                                                <w:rFonts w:ascii="Neo Sans Std" w:eastAsia="Neo Sans Std" w:hAnsi="Neo Sans Std" w:cs="Neo Sans Std"/>
                                                <w:color w:val="000000"/>
                                                <w:sz w:val="28"/>
                                              </w:rPr>
                                              <w:t>Prefeitura Municipal de Ferraz de Vasconcelos</w:t>
                                            </w:r>
                                          </w:p>
                                          <w:p w14:paraId="6A1FD33A" w14:textId="77777777" w:rsidR="00733EE6" w:rsidRDefault="00000000">
                                            <w:pPr>
                                              <w:jc w:val="center"/>
                                              <w:textDirection w:val="btLr"/>
                                            </w:pPr>
                                            <w:r>
                                              <w:rPr>
                                                <w:rFonts w:ascii="Neo Sans Std" w:eastAsia="Neo Sans Std" w:hAnsi="Neo Sans Std" w:cs="Neo Sans Std"/>
                                                <w:color w:val="000000"/>
                                                <w:sz w:val="28"/>
                                              </w:rPr>
                                              <w:t>Estado de São Paulo</w:t>
                                            </w:r>
                                          </w:p>
                                          <w:p w14:paraId="61F75AF8" w14:textId="77777777" w:rsidR="00733EE6" w:rsidRDefault="00733EE6">
                                            <w:pPr>
                                              <w:textDirection w:val="btLr"/>
                                            </w:pPr>
                                          </w:p>
                                          <w:p w14:paraId="6969C272" w14:textId="77777777" w:rsidR="00733EE6" w:rsidRDefault="00733EE6">
                                            <w:pPr>
                                              <w:jc w:val="center"/>
                                              <w:textDirection w:val="btLr"/>
                                            </w:pPr>
                                          </w:p>
                                        </w:txbxContent>
                                      </wps:txbx>
                                      <wps:bodyPr spcFirstLastPara="1" wrap="square" lIns="91425" tIns="45700" rIns="91425" bIns="45700" anchor="t" anchorCtr="0">
                                        <a:noAutofit/>
                                      </wps:bodyPr>
                                    </wps:wsp>
                                    <pic:pic xmlns:pic="http://schemas.openxmlformats.org/drawingml/2006/picture">
                                      <pic:nvPicPr>
                                        <pic:cNvPr id="19" name="Shape 19"/>
                                        <pic:cNvPicPr preferRelativeResize="0"/>
                                      </pic:nvPicPr>
                                      <pic:blipFill rotWithShape="1">
                                        <a:blip r:embed="rId1">
                                          <a:alphaModFix/>
                                        </a:blip>
                                        <a:srcRect/>
                                        <a:stretch/>
                                      </pic:blipFill>
                                      <pic:spPr>
                                        <a:xfrm>
                                          <a:off x="0" y="0"/>
                                          <a:ext cx="1609725" cy="676275"/>
                                        </a:xfrm>
                                        <a:prstGeom prst="rect">
                                          <a:avLst/>
                                        </a:prstGeom>
                                        <a:noFill/>
                                        <a:ln>
                                          <a:noFill/>
                                        </a:ln>
                                      </pic:spPr>
                                    </pic:pic>
                                  </wpg:grpSp>
                                  <pic:pic xmlns:pic="http://schemas.openxmlformats.org/drawingml/2006/picture">
                                    <pic:nvPicPr>
                                      <pic:cNvPr id="20" name="Shape 20"/>
                                      <pic:cNvPicPr preferRelativeResize="0"/>
                                    </pic:nvPicPr>
                                    <pic:blipFill rotWithShape="1">
                                      <a:blip r:embed="rId2">
                                        <a:alphaModFix/>
                                      </a:blip>
                                      <a:srcRect/>
                                      <a:stretch/>
                                    </pic:blipFill>
                                    <pic:spPr>
                                      <a:xfrm>
                                        <a:off x="5734050" y="57150"/>
                                        <a:ext cx="1450340" cy="561975"/>
                                      </a:xfrm>
                                      <a:prstGeom prst="rect">
                                        <a:avLst/>
                                      </a:prstGeom>
                                      <a:noFill/>
                                      <a:ln>
                                        <a:noFill/>
                                      </a:ln>
                                    </pic:spPr>
                                  </pic:pic>
                                </wpg:grpSp>
                              </wpg:grpSp>
                            </wpg:grpSp>
                          </wpg:grpSp>
                        </wpg:grpSp>
                      </wpg:grpSp>
                    </wpg:grpSp>
                  </wpg:wg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-678430</wp:posOffset>
              </wp:positionH>
              <wp:positionV relativeFrom="paragraph">
                <wp:posOffset>-346202</wp:posOffset>
              </wp:positionV>
              <wp:extent cx="6939926" cy="697692"/>
              <wp:effectExtent b="0" l="0" r="0" t="0"/>
              <wp:wrapNone/>
              <wp:docPr id="1389517221" name="image2.png"/>
              <a:graphic>
                <a:graphicData uri="http://schemas.openxmlformats.org/drawingml/2006/picture">
                  <pic:pic>
                    <pic:nvPicPr>
                      <pic:cNvPr id="0" name="image2.png"/>
                      <pic:cNvPicPr preferRelativeResize="0"/>
                    </pic:nvPicPr>
                    <pic:blipFill>
                      <a:blip r:embed="rId3"/>
                      <a:srcRect/>
                      <a:stretch>
                        <a:fillRect/>
                      </a:stretch>
                    </pic:blipFill>
                    <pic:spPr>
                      <a:xfrm>
                        <a:off x="0" y="0"/>
                        <a:ext cx="6939926" cy="697692"/>
                      </a:xfrm>
                      <a:prstGeom prst="rect"/>
                      <a:ln/>
                    </pic:spPr>
                  </pic:pic>
                </a:graphicData>
              </a:graphic>
            </wp:anchor>
          </w:drawing>
        </mc:Fallback>
      </mc:AlternateContent>
    </w:r>
  </w:p>
  <w:p w14:paraId="182DF924" w14:textId="77777777" w:rsidR="00733EE6" w:rsidRDefault="00733EE6">
    <w:pPr>
      <w:pBdr>
        <w:top w:val="nil"/>
        <w:left w:val="nil"/>
        <w:bottom w:val="nil"/>
        <w:right w:val="nil"/>
        <w:between w:val="nil"/>
      </w:pBdr>
      <w:tabs>
        <w:tab w:val="center" w:pos="4252"/>
        <w:tab w:val="right" w:pos="8504"/>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F39F7"/>
    <w:multiLevelType w:val="multilevel"/>
    <w:tmpl w:val="D2BC1186"/>
    <w:lvl w:ilvl="0">
      <w:start w:val="1"/>
      <w:numFmt w:val="decimal"/>
      <w:pStyle w:val="Nivel01"/>
      <w:lvlText w:val="%1."/>
      <w:lvlJc w:val="left"/>
      <w:pPr>
        <w:tabs>
          <w:tab w:val="num" w:pos="720"/>
        </w:tabs>
        <w:ind w:left="720" w:hanging="720"/>
      </w:pPr>
    </w:lvl>
    <w:lvl w:ilvl="1">
      <w:start w:val="1"/>
      <w:numFmt w:val="decimal"/>
      <w:pStyle w:val="Nivel2"/>
      <w:lvlText w:val="%2."/>
      <w:lvlJc w:val="left"/>
      <w:pPr>
        <w:tabs>
          <w:tab w:val="num" w:pos="1440"/>
        </w:tabs>
        <w:ind w:left="1440" w:hanging="720"/>
      </w:pPr>
    </w:lvl>
    <w:lvl w:ilvl="2">
      <w:start w:val="1"/>
      <w:numFmt w:val="decimal"/>
      <w:pStyle w:val="Nivel3"/>
      <w:lvlText w:val="%3."/>
      <w:lvlJc w:val="left"/>
      <w:pPr>
        <w:tabs>
          <w:tab w:val="num" w:pos="2160"/>
        </w:tabs>
        <w:ind w:left="2160" w:hanging="720"/>
      </w:pPr>
    </w:lvl>
    <w:lvl w:ilvl="3">
      <w:start w:val="1"/>
      <w:numFmt w:val="decimal"/>
      <w:pStyle w:val="Nivel4"/>
      <w:lvlText w:val="%4."/>
      <w:lvlJc w:val="left"/>
      <w:pPr>
        <w:tabs>
          <w:tab w:val="num" w:pos="2880"/>
        </w:tabs>
        <w:ind w:left="2880" w:hanging="720"/>
      </w:pPr>
    </w:lvl>
    <w:lvl w:ilvl="4">
      <w:start w:val="1"/>
      <w:numFmt w:val="decimal"/>
      <w:pStyle w:val="Nivel5"/>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1578451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3EE6"/>
    <w:rsid w:val="00470F0E"/>
    <w:rsid w:val="006E3886"/>
    <w:rsid w:val="006F6B4F"/>
    <w:rsid w:val="00733EE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F2C046"/>
  <w15:docId w15:val="{350F4F29-BB61-4DA3-BCE2-323A25476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240"/>
      <w:outlineLvl w:val="0"/>
    </w:pPr>
    <w:rPr>
      <w:rFonts w:ascii="Calibri" w:eastAsia="Calibri" w:hAnsi="Calibri" w:cs="Calibri"/>
      <w:color w:val="2F5496"/>
      <w:sz w:val="32"/>
      <w:szCs w:val="32"/>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rPr>
  </w:style>
  <w:style w:type="paragraph" w:styleId="Ttulo5">
    <w:name w:val="heading 5"/>
    <w:basedOn w:val="Normal"/>
    <w:next w:val="Normal"/>
    <w:uiPriority w:val="9"/>
    <w:semiHidden/>
    <w:unhideWhenUsed/>
    <w:qFormat/>
    <w:pPr>
      <w:keepNext/>
      <w:keepLines/>
      <w:spacing w:before="220" w:after="40"/>
      <w:outlineLvl w:val="4"/>
    </w:pPr>
    <w:rPr>
      <w:b/>
      <w:bCs/>
      <w:sz w:val="22"/>
      <w:szCs w:val="22"/>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character" w:styleId="Nmerodepgina">
    <w:name w:val="page number"/>
    <w:basedOn w:val="Fontepargpadro"/>
    <w:rsid w:val="005937EA"/>
  </w:style>
  <w:style w:type="paragraph" w:styleId="Rodap">
    <w:name w:val="footer"/>
    <w:basedOn w:val="Normal"/>
    <w:link w:val="RodapChar"/>
    <w:rsid w:val="005937EA"/>
    <w:pPr>
      <w:tabs>
        <w:tab w:val="center" w:pos="4419"/>
        <w:tab w:val="right" w:pos="8838"/>
      </w:tabs>
    </w:pPr>
  </w:style>
  <w:style w:type="character" w:customStyle="1" w:styleId="RodapChar">
    <w:name w:val="Rodapé Char"/>
    <w:basedOn w:val="Fontepargpadro"/>
    <w:link w:val="Rodap"/>
    <w:rsid w:val="005937EA"/>
    <w:rPr>
      <w:rFonts w:ascii="Times New Roman" w:eastAsia="Times New Roman" w:hAnsi="Times New Roman" w:cs="Times New Roman"/>
      <w:kern w:val="0"/>
      <w:sz w:val="24"/>
      <w:szCs w:val="20"/>
      <w:lang w:eastAsia="zh-CN"/>
    </w:rPr>
  </w:style>
  <w:style w:type="paragraph" w:customStyle="1" w:styleId="Standard">
    <w:name w:val="Standard"/>
    <w:qFormat/>
    <w:rsid w:val="005937EA"/>
    <w:pPr>
      <w:suppressAutoHyphens/>
      <w:textAlignment w:val="baseline"/>
    </w:pPr>
    <w:rPr>
      <w:rFonts w:eastAsia="SimSun"/>
      <w:sz w:val="20"/>
      <w:szCs w:val="20"/>
      <w:lang w:eastAsia="zh-CN"/>
    </w:rPr>
  </w:style>
  <w:style w:type="paragraph" w:styleId="Recuodecorpodetexto2">
    <w:name w:val="Body Text Indent 2"/>
    <w:basedOn w:val="Normal"/>
    <w:link w:val="Recuodecorpodetexto2Char"/>
    <w:uiPriority w:val="99"/>
    <w:semiHidden/>
    <w:unhideWhenUsed/>
    <w:rsid w:val="005937EA"/>
    <w:pPr>
      <w:spacing w:after="120" w:line="480" w:lineRule="auto"/>
      <w:ind w:left="283"/>
    </w:pPr>
  </w:style>
  <w:style w:type="character" w:customStyle="1" w:styleId="Recuodecorpodetexto2Char">
    <w:name w:val="Recuo de corpo de texto 2 Char"/>
    <w:basedOn w:val="Fontepargpadro"/>
    <w:link w:val="Recuodecorpodetexto2"/>
    <w:uiPriority w:val="99"/>
    <w:semiHidden/>
    <w:rsid w:val="005937EA"/>
    <w:rPr>
      <w:rFonts w:ascii="Times New Roman" w:eastAsia="Times New Roman" w:hAnsi="Times New Roman" w:cs="Times New Roman"/>
      <w:kern w:val="0"/>
      <w:sz w:val="24"/>
      <w:szCs w:val="20"/>
      <w:lang w:eastAsia="zh-CN"/>
    </w:rPr>
  </w:style>
  <w:style w:type="paragraph" w:styleId="PargrafodaLista">
    <w:name w:val="List Paragraph"/>
    <w:basedOn w:val="Normal"/>
    <w:uiPriority w:val="34"/>
    <w:qFormat/>
    <w:rsid w:val="009330B6"/>
    <w:pPr>
      <w:ind w:left="720"/>
      <w:contextualSpacing/>
    </w:pPr>
  </w:style>
  <w:style w:type="paragraph" w:styleId="Reviso">
    <w:name w:val="Revision"/>
    <w:hidden/>
    <w:uiPriority w:val="99"/>
    <w:semiHidden/>
    <w:rsid w:val="00235D6E"/>
    <w:rPr>
      <w:szCs w:val="20"/>
      <w:lang w:eastAsia="zh-CN"/>
    </w:rPr>
  </w:style>
  <w:style w:type="paragraph" w:styleId="Textodenotaderodap">
    <w:name w:val="footnote text"/>
    <w:basedOn w:val="Normal"/>
    <w:link w:val="TextodenotaderodapChar"/>
    <w:uiPriority w:val="99"/>
    <w:semiHidden/>
    <w:unhideWhenUsed/>
    <w:rsid w:val="0041704F"/>
    <w:rPr>
      <w:sz w:val="20"/>
    </w:rPr>
  </w:style>
  <w:style w:type="character" w:customStyle="1" w:styleId="TextodenotaderodapChar">
    <w:name w:val="Texto de nota de rodapé Char"/>
    <w:basedOn w:val="Fontepargpadro"/>
    <w:link w:val="Textodenotaderodap"/>
    <w:uiPriority w:val="99"/>
    <w:semiHidden/>
    <w:rsid w:val="0041704F"/>
    <w:rPr>
      <w:rFonts w:ascii="Times New Roman" w:eastAsia="Times New Roman" w:hAnsi="Times New Roman" w:cs="Times New Roman"/>
      <w:kern w:val="0"/>
      <w:sz w:val="20"/>
      <w:szCs w:val="20"/>
      <w:lang w:eastAsia="zh-CN"/>
    </w:rPr>
  </w:style>
  <w:style w:type="character" w:styleId="Refdenotaderodap">
    <w:name w:val="footnote reference"/>
    <w:basedOn w:val="Fontepargpadro"/>
    <w:uiPriority w:val="99"/>
    <w:semiHidden/>
    <w:unhideWhenUsed/>
    <w:rsid w:val="0041704F"/>
    <w:rPr>
      <w:vertAlign w:val="superscript"/>
    </w:rPr>
  </w:style>
  <w:style w:type="paragraph" w:styleId="Cabealho">
    <w:name w:val="header"/>
    <w:basedOn w:val="Normal"/>
    <w:link w:val="CabealhoChar"/>
    <w:uiPriority w:val="99"/>
    <w:unhideWhenUsed/>
    <w:rsid w:val="005645C9"/>
    <w:pPr>
      <w:tabs>
        <w:tab w:val="center" w:pos="4252"/>
        <w:tab w:val="right" w:pos="8504"/>
      </w:tabs>
    </w:pPr>
  </w:style>
  <w:style w:type="character" w:customStyle="1" w:styleId="CabealhoChar">
    <w:name w:val="Cabeçalho Char"/>
    <w:basedOn w:val="Fontepargpadro"/>
    <w:link w:val="Cabealho"/>
    <w:uiPriority w:val="99"/>
    <w:rsid w:val="005645C9"/>
    <w:rPr>
      <w:rFonts w:ascii="Times New Roman" w:eastAsia="Times New Roman" w:hAnsi="Times New Roman" w:cs="Times New Roman"/>
      <w:kern w:val="0"/>
      <w:sz w:val="24"/>
      <w:szCs w:val="20"/>
      <w:lang w:eastAsia="zh-CN"/>
    </w:rPr>
  </w:style>
  <w:style w:type="paragraph" w:customStyle="1" w:styleId="Nivel01">
    <w:name w:val="Nivel 01"/>
    <w:next w:val="Normal"/>
    <w:autoRedefine/>
    <w:qFormat/>
    <w:rsid w:val="00DA15EC"/>
    <w:pPr>
      <w:numPr>
        <w:numId w:val="1"/>
      </w:numPr>
      <w:tabs>
        <w:tab w:val="left" w:pos="142"/>
        <w:tab w:val="num" w:pos="360"/>
      </w:tabs>
      <w:spacing w:after="120"/>
      <w:ind w:left="-425" w:firstLine="0"/>
      <w:jc w:val="both"/>
    </w:pPr>
    <w:rPr>
      <w:rFonts w:ascii="Arial" w:hAnsi="Arial" w:cs="Arial"/>
      <w:b/>
      <w:bCs/>
      <w:sz w:val="20"/>
      <w:szCs w:val="20"/>
    </w:rPr>
  </w:style>
  <w:style w:type="paragraph" w:customStyle="1" w:styleId="Nivel2">
    <w:name w:val="Nivel 2"/>
    <w:basedOn w:val="Normal"/>
    <w:qFormat/>
    <w:rsid w:val="00DA15EC"/>
    <w:pPr>
      <w:numPr>
        <w:ilvl w:val="1"/>
        <w:numId w:val="1"/>
      </w:numPr>
      <w:spacing w:before="120" w:after="120" w:line="276" w:lineRule="auto"/>
      <w:ind w:left="0" w:firstLine="0"/>
      <w:jc w:val="both"/>
    </w:pPr>
    <w:rPr>
      <w:rFonts w:ascii="Arial" w:eastAsiaTheme="minorEastAsia" w:hAnsi="Arial" w:cs="Arial"/>
      <w:color w:val="000000"/>
      <w:sz w:val="20"/>
    </w:rPr>
  </w:style>
  <w:style w:type="paragraph" w:customStyle="1" w:styleId="Nivel3">
    <w:name w:val="Nivel 3"/>
    <w:basedOn w:val="Normal"/>
    <w:qFormat/>
    <w:rsid w:val="00DA15EC"/>
    <w:pPr>
      <w:numPr>
        <w:ilvl w:val="2"/>
        <w:numId w:val="1"/>
      </w:numPr>
      <w:spacing w:before="120" w:after="120" w:line="276" w:lineRule="auto"/>
      <w:ind w:left="284" w:firstLine="0"/>
      <w:jc w:val="both"/>
    </w:pPr>
    <w:rPr>
      <w:rFonts w:ascii="Arial" w:eastAsiaTheme="minorEastAsia" w:hAnsi="Arial" w:cs="Arial"/>
      <w:color w:val="000000"/>
      <w:sz w:val="20"/>
    </w:rPr>
  </w:style>
  <w:style w:type="paragraph" w:customStyle="1" w:styleId="Nivel4">
    <w:name w:val="Nivel 4"/>
    <w:basedOn w:val="Nivel3"/>
    <w:qFormat/>
    <w:rsid w:val="00DA15EC"/>
    <w:pPr>
      <w:numPr>
        <w:ilvl w:val="3"/>
      </w:numPr>
      <w:ind w:left="567" w:firstLine="0"/>
    </w:pPr>
    <w:rPr>
      <w:color w:val="auto"/>
    </w:rPr>
  </w:style>
  <w:style w:type="paragraph" w:customStyle="1" w:styleId="Nivel5">
    <w:name w:val="Nivel 5"/>
    <w:basedOn w:val="Nivel4"/>
    <w:qFormat/>
    <w:rsid w:val="00DA15EC"/>
    <w:pPr>
      <w:numPr>
        <w:ilvl w:val="4"/>
      </w:numPr>
      <w:ind w:left="851" w:firstLine="0"/>
    </w:pPr>
  </w:style>
  <w:style w:type="character" w:customStyle="1" w:styleId="Ttulo1Char">
    <w:name w:val="Título 1 Char"/>
    <w:basedOn w:val="Fontepargpadro"/>
    <w:uiPriority w:val="9"/>
    <w:rsid w:val="00DA15EC"/>
    <w:rPr>
      <w:rFonts w:asciiTheme="majorHAnsi" w:eastAsiaTheme="majorEastAsia" w:hAnsiTheme="majorHAnsi" w:cstheme="majorBidi"/>
      <w:color w:val="2F5496" w:themeColor="accent1" w:themeShade="BF"/>
      <w:kern w:val="0"/>
      <w:sz w:val="32"/>
      <w:szCs w:val="32"/>
      <w:lang w:eastAsia="zh-CN"/>
    </w:rPr>
  </w:style>
  <w:style w:type="table" w:styleId="Tabelacomgrade">
    <w:name w:val="Table Grid"/>
    <w:basedOn w:val="Tabelanormal"/>
    <w:uiPriority w:val="39"/>
    <w:rsid w:val="00B721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08" w:type="dxa"/>
        <w:bottom w:w="0" w:type="dxa"/>
        <w:right w:w="108" w:type="dxa"/>
      </w:tblCellMar>
    </w:tblPr>
  </w:style>
  <w:style w:type="table" w:customStyle="1" w:styleId="a0">
    <w:basedOn w:val="TableNormal"/>
    <w:tblPr>
      <w:tblStyleRowBandSize w:val="1"/>
      <w:tblStyleColBandSize w:val="1"/>
      <w:tblCellMar>
        <w:top w:w="0" w:type="dxa"/>
        <w:left w:w="70" w:type="dxa"/>
        <w:bottom w:w="0" w:type="dxa"/>
        <w:right w:w="7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0.png"/></Relationships>
</file>

<file path=word/_rels/header1.xml.rels><?xml version="1.0" encoding="UTF-8" standalone="yes"?>
<Relationships xmlns="http://schemas.openxmlformats.org/package/2006/relationships"><Relationship Id="rId3" Type="http://schemas.openxmlformats.org/officeDocument/2006/relationships/image" Target="media/image20.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42j5xFLYfATV3VKilhOauRtTzNA==">CgMxLjAyCWguMzBqMHpsbDgAciExdFdpa2FzbzVlRE84cXE1eHhwcEZfc3B1bXR4LXdtcTI=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1488</Words>
  <Characters>8039</Characters>
  <Application>Microsoft Office Word</Application>
  <DocSecurity>0</DocSecurity>
  <Lines>66</Lines>
  <Paragraphs>19</Paragraphs>
  <ScaleCrop>false</ScaleCrop>
  <Company/>
  <LinksUpToDate>false</LinksUpToDate>
  <CharactersWithSpaces>9508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Mariana Varejão de Andrade</dc:creator>
  <cp:lastModifiedBy>Meu Computador</cp:lastModifiedBy>
  <cp:revision>3</cp:revision>
  <cp:lastPrinted>2026-03-30T15:54:00Z</cp:lastPrinted>
  <dcterms:created xsi:type="dcterms:W3CDTF">2025-10-09T17:04:00Z</dcterms:created>
  <dcterms:modified xsi:type="dcterms:W3CDTF">2026-03-30T15:55:00Z</dcterms:modified>
</cp:coreProperties>
</file>