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B3BE3" w14:textId="77777777" w:rsidR="000D65B0" w:rsidRDefault="000D65B0" w:rsidP="000D65B0"/>
    <w:p w14:paraId="7F556C85" w14:textId="7D387058" w:rsidR="000D65B0" w:rsidRDefault="000D65B0" w:rsidP="000D65B0">
      <w:r>
        <w:t>AUDIÊNCIA PÚBLICA NO SITE DA CÂMARA</w:t>
      </w:r>
    </w:p>
    <w:p w14:paraId="5C51EEB2" w14:textId="77777777" w:rsidR="000D65B0" w:rsidRDefault="000D65B0" w:rsidP="000D65B0"/>
    <w:p w14:paraId="77F9C4E8" w14:textId="5E25C481" w:rsidR="000D65B0" w:rsidRPr="000D65B0" w:rsidRDefault="009C5861" w:rsidP="000D65B0">
      <w:hyperlink r:id="rId4" w:history="1">
        <w:r w:rsidRPr="009C5861">
          <w:rPr>
            <w:rStyle w:val="Hyperlink"/>
          </w:rPr>
          <w:t>Audiência Pública Lei de Diretrizes Orçamentárias – LDO, para o exercício de 2027.</w:t>
        </w:r>
      </w:hyperlink>
    </w:p>
    <w:sectPr w:rsidR="000D65B0" w:rsidRPr="000D65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B0"/>
    <w:rsid w:val="000D65B0"/>
    <w:rsid w:val="002B2783"/>
    <w:rsid w:val="00492A35"/>
    <w:rsid w:val="004A00EE"/>
    <w:rsid w:val="009C5861"/>
    <w:rsid w:val="00A67E87"/>
    <w:rsid w:val="00AF5B90"/>
    <w:rsid w:val="00E0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05DF"/>
  <w15:chartTrackingRefBased/>
  <w15:docId w15:val="{42D0CD05-70C6-423F-A4A1-43A449E0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6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6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65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6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65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6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6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6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6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65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65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65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5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5B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5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65B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65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65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6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6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6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6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6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65B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65B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65B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6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65B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65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D65B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D65B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D65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Taf01ZxjDuk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152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2026-07-14T18:43:00Z</dcterms:created>
  <dcterms:modified xsi:type="dcterms:W3CDTF">2026-07-14T18:55:00Z</dcterms:modified>
</cp:coreProperties>
</file>